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BF" w:rsidRDefault="00906A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Uploaded are the input and output files used </w:t>
      </w:r>
      <w:r>
        <w:rPr>
          <w:rFonts w:ascii="Times New Roman" w:hAnsi="Times New Roman" w:cs="Times New Roman" w:hint="eastAsia"/>
          <w:sz w:val="24"/>
        </w:rPr>
        <w:t>for fault characterization through numerical simulation using iTOUGH2.</w:t>
      </w:r>
      <w:proofErr w:type="gramEnd"/>
      <w:r>
        <w:rPr>
          <w:rFonts w:ascii="Times New Roman" w:hAnsi="Times New Roman" w:cs="Times New Roman" w:hint="eastAsia"/>
          <w:sz w:val="24"/>
        </w:rPr>
        <w:t xml:space="preserve"> </w:t>
      </w:r>
      <w:r w:rsidRPr="00906A84">
        <w:rPr>
          <w:rFonts w:ascii="Times New Roman" w:hAnsi="Times New Roman" w:cs="Times New Roman"/>
          <w:sz w:val="24"/>
          <w:szCs w:val="24"/>
        </w:rPr>
        <w:t xml:space="preserve">The synthetic data for the push period </w:t>
      </w:r>
      <w:r w:rsidR="007D5754">
        <w:rPr>
          <w:rFonts w:ascii="Times New Roman" w:hAnsi="Times New Roman" w:cs="Times New Roman" w:hint="eastAsia"/>
          <w:sz w:val="24"/>
          <w:szCs w:val="24"/>
        </w:rPr>
        <w:t>a</w:t>
      </w:r>
      <w:r w:rsidRPr="00906A84">
        <w:rPr>
          <w:rFonts w:ascii="Times New Roman" w:hAnsi="Times New Roman" w:cs="Times New Roman"/>
          <w:sz w:val="24"/>
          <w:szCs w:val="24"/>
        </w:rPr>
        <w:t>re generated by running a forward simulation</w:t>
      </w:r>
      <w:r w:rsidR="004F2BE6">
        <w:rPr>
          <w:rFonts w:ascii="Times New Roman" w:hAnsi="Times New Roman" w:cs="Times New Roman"/>
          <w:sz w:val="24"/>
          <w:szCs w:val="24"/>
        </w:rPr>
        <w:t xml:space="preserve"> (input parameters are given in BradyGF6_Exp_06_injection).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2BE6">
        <w:rPr>
          <w:rFonts w:ascii="Times New Roman" w:hAnsi="Times New Roman" w:cs="Times New Roman"/>
          <w:sz w:val="24"/>
          <w:szCs w:val="24"/>
        </w:rPr>
        <w:t>In general, t</w:t>
      </w:r>
      <w:r w:rsidRPr="00906A84">
        <w:rPr>
          <w:rFonts w:ascii="Times New Roman" w:hAnsi="Times New Roman" w:cs="Times New Roman"/>
          <w:sz w:val="24"/>
          <w:szCs w:val="24"/>
        </w:rPr>
        <w:t>he permeability of the fault gouge, damage zone, and matrix are</w:t>
      </w:r>
      <w:r w:rsidR="007D5754">
        <w:rPr>
          <w:rFonts w:ascii="Times New Roman" w:hAnsi="Times New Roman" w:cs="Times New Roman" w:hint="eastAsia"/>
          <w:sz w:val="24"/>
          <w:szCs w:val="24"/>
        </w:rPr>
        <w:t xml:space="preserve"> assumed to be</w:t>
      </w:r>
      <w:r w:rsidRPr="00906A84">
        <w:rPr>
          <w:rFonts w:ascii="Times New Roman" w:hAnsi="Times New Roman" w:cs="Times New Roman"/>
          <w:sz w:val="24"/>
          <w:szCs w:val="24"/>
        </w:rPr>
        <w:t xml:space="preserve"> unknown</w:t>
      </w:r>
      <w:r>
        <w:rPr>
          <w:rFonts w:ascii="Times New Roman" w:hAnsi="Times New Roman" w:cs="Times New Roman" w:hint="eastAsia"/>
          <w:sz w:val="24"/>
          <w:szCs w:val="24"/>
        </w:rPr>
        <w:t xml:space="preserve">. The input and output files are for the inversion scenario </w:t>
      </w:r>
      <w:r w:rsidR="007D5754">
        <w:rPr>
          <w:rFonts w:ascii="Times New Roman" w:hAnsi="Times New Roman" w:cs="Times New Roman" w:hint="eastAsia"/>
          <w:sz w:val="24"/>
          <w:szCs w:val="24"/>
        </w:rPr>
        <w:t>where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D5754">
        <w:rPr>
          <w:rFonts w:ascii="Times New Roman" w:hAnsi="Times New Roman" w:cs="Times New Roman" w:hint="eastAsia"/>
          <w:sz w:val="24"/>
          <w:szCs w:val="24"/>
        </w:rPr>
        <w:t xml:space="preserve">only </w:t>
      </w:r>
      <w:r w:rsidRPr="00906A84">
        <w:rPr>
          <w:rFonts w:ascii="Times New Roman" w:hAnsi="Times New Roman" w:cs="Times New Roman"/>
          <w:sz w:val="24"/>
          <w:szCs w:val="24"/>
        </w:rPr>
        <w:t xml:space="preserve">pressure transients are available </w:t>
      </w:r>
      <w:r w:rsidR="007D5754">
        <w:rPr>
          <w:rFonts w:ascii="Times New Roman" w:hAnsi="Times New Roman" w:cs="Times New Roman" w:hint="eastAsia"/>
          <w:sz w:val="24"/>
          <w:szCs w:val="24"/>
        </w:rPr>
        <w:t>at the monitoring well located 200 m above the injection well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06A84">
        <w:rPr>
          <w:rFonts w:ascii="Times New Roman" w:hAnsi="Times New Roman" w:cs="Times New Roman"/>
          <w:sz w:val="24"/>
          <w:szCs w:val="24"/>
        </w:rPr>
        <w:t xml:space="preserve">only the fault gouge permeability </w:t>
      </w:r>
      <w:r w:rsidR="007D5754">
        <w:rPr>
          <w:rFonts w:ascii="Times New Roman" w:hAnsi="Times New Roman" w:cs="Times New Roman" w:hint="eastAsia"/>
          <w:sz w:val="24"/>
          <w:szCs w:val="24"/>
        </w:rPr>
        <w:t>is estimated</w:t>
      </w:r>
      <w:r w:rsidRPr="00906A84">
        <w:rPr>
          <w:rFonts w:ascii="Times New Roman" w:hAnsi="Times New Roman" w:cs="Times New Roman"/>
          <w:sz w:val="24"/>
          <w:szCs w:val="24"/>
        </w:rPr>
        <w:t xml:space="preserve">. </w:t>
      </w:r>
      <w:r w:rsidR="007D5754">
        <w:rPr>
          <w:rFonts w:ascii="Times New Roman" w:hAnsi="Times New Roman" w:cs="Times New Roman" w:hint="eastAsia"/>
          <w:sz w:val="24"/>
          <w:szCs w:val="24"/>
        </w:rPr>
        <w:t xml:space="preserve">The input files are InvExt6i, </w:t>
      </w:r>
      <w:proofErr w:type="spellStart"/>
      <w:r w:rsidR="007D5754">
        <w:rPr>
          <w:rFonts w:ascii="Times New Roman" w:hAnsi="Times New Roman" w:cs="Times New Roman" w:hint="eastAsia"/>
          <w:sz w:val="24"/>
          <w:szCs w:val="24"/>
        </w:rPr>
        <w:t>INPUT.tpl</w:t>
      </w:r>
      <w:proofErr w:type="spellEnd"/>
      <w:r w:rsidR="007D5754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7D5754">
        <w:rPr>
          <w:rFonts w:ascii="Times New Roman" w:hAnsi="Times New Roman" w:cs="Times New Roman" w:hint="eastAsia"/>
          <w:sz w:val="24"/>
          <w:szCs w:val="24"/>
        </w:rPr>
        <w:t>FOFT.ins</w:t>
      </w:r>
      <w:proofErr w:type="spellEnd"/>
      <w:r w:rsidR="007D5754">
        <w:rPr>
          <w:rFonts w:ascii="Times New Roman" w:hAnsi="Times New Roman" w:cs="Times New Roman" w:hint="eastAsia"/>
          <w:sz w:val="24"/>
          <w:szCs w:val="24"/>
        </w:rPr>
        <w:t xml:space="preserve">, CO2TAB, and the output files are InvExt6i.out, </w:t>
      </w:r>
      <w:proofErr w:type="spellStart"/>
      <w:r w:rsidR="007D5754">
        <w:rPr>
          <w:rFonts w:ascii="Times New Roman" w:hAnsi="Times New Roman" w:cs="Times New Roman" w:hint="eastAsia"/>
          <w:sz w:val="24"/>
          <w:szCs w:val="24"/>
        </w:rPr>
        <w:t>pest.fof</w:t>
      </w:r>
      <w:proofErr w:type="spellEnd"/>
      <w:r w:rsidR="007D5754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proofErr w:type="spellStart"/>
      <w:r w:rsidR="007D5754">
        <w:rPr>
          <w:rFonts w:ascii="Times New Roman" w:hAnsi="Times New Roman" w:cs="Times New Roman" w:hint="eastAsia"/>
          <w:sz w:val="24"/>
          <w:szCs w:val="24"/>
        </w:rPr>
        <w:t>pest.sav</w:t>
      </w:r>
      <w:proofErr w:type="spellEnd"/>
      <w:r w:rsidR="007D5754">
        <w:rPr>
          <w:rFonts w:ascii="Times New Roman" w:hAnsi="Times New Roman" w:cs="Times New Roman" w:hint="eastAsia"/>
          <w:sz w:val="24"/>
          <w:szCs w:val="24"/>
        </w:rPr>
        <w:t>.</w:t>
      </w:r>
      <w:r w:rsidR="004F2B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D9C" w:rsidRDefault="004F2B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table below summarizes the inversion results, and indicates the fault gouge permeability can be estimated even if imperfect guesses are used for matrix </w:t>
      </w:r>
      <w:r w:rsidR="000127BF">
        <w:rPr>
          <w:rFonts w:ascii="Times New Roman" w:hAnsi="Times New Roman" w:cs="Times New Roman"/>
          <w:sz w:val="24"/>
          <w:szCs w:val="24"/>
        </w:rPr>
        <w:t xml:space="preserve">and damage zone </w:t>
      </w:r>
      <w:r>
        <w:rPr>
          <w:rFonts w:ascii="Times New Roman" w:hAnsi="Times New Roman" w:cs="Times New Roman"/>
          <w:sz w:val="24"/>
          <w:szCs w:val="24"/>
        </w:rPr>
        <w:t>permeabilities</w:t>
      </w:r>
      <w:r w:rsidR="000127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permeability anisotropy is not taken into account.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3311"/>
        <w:gridCol w:w="2501"/>
        <w:gridCol w:w="1927"/>
      </w:tblGrid>
      <w:tr w:rsidR="000127BF" w:rsidTr="000127BF">
        <w:tc>
          <w:tcPr>
            <w:tcW w:w="1837" w:type="dxa"/>
            <w:vMerge w:val="restart"/>
          </w:tcPr>
          <w:p w:rsidR="000127BF" w:rsidRDefault="00012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 w:val="restart"/>
            <w:vAlign w:val="center"/>
          </w:tcPr>
          <w:p w:rsidR="000127BF" w:rsidRDefault="000127BF" w:rsidP="0001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Pr="004F2B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ynthetic data</w:t>
            </w:r>
          </w:p>
        </w:tc>
        <w:tc>
          <w:tcPr>
            <w:tcW w:w="4428" w:type="dxa"/>
            <w:gridSpan w:val="2"/>
          </w:tcPr>
          <w:p w:rsidR="000127BF" w:rsidRPr="004F2BE6" w:rsidRDefault="000127BF" w:rsidP="00012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Model for inversion: all materials are isotropic, matrix is homogeneous</w:t>
            </w:r>
          </w:p>
        </w:tc>
      </w:tr>
      <w:tr w:rsidR="000127BF" w:rsidTr="00937A5E">
        <w:tc>
          <w:tcPr>
            <w:tcW w:w="1837" w:type="dxa"/>
            <w:vMerge/>
          </w:tcPr>
          <w:p w:rsidR="000127BF" w:rsidRDefault="00012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vMerge/>
          </w:tcPr>
          <w:p w:rsidR="000127BF" w:rsidRDefault="000127BF" w:rsidP="0093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127BF" w:rsidRDefault="000127BF" w:rsidP="0093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Starting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value</w:t>
            </w:r>
          </w:p>
        </w:tc>
        <w:tc>
          <w:tcPr>
            <w:tcW w:w="1927" w:type="dxa"/>
          </w:tcPr>
          <w:p w:rsidR="000127BF" w:rsidRDefault="0001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Returned value</w:t>
            </w:r>
          </w:p>
        </w:tc>
      </w:tr>
      <w:tr w:rsidR="0077613B" w:rsidTr="00937A5E">
        <w:tc>
          <w:tcPr>
            <w:tcW w:w="1837" w:type="dxa"/>
          </w:tcPr>
          <w:p w:rsidR="0077613B" w:rsidRDefault="0077613B" w:rsidP="0077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Matrix </w:t>
            </w:r>
          </w:p>
        </w:tc>
        <w:tc>
          <w:tcPr>
            <w:tcW w:w="3311" w:type="dxa"/>
          </w:tcPr>
          <w:p w:rsidR="0077613B" w:rsidRDefault="0077613B" w:rsidP="0001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Isotropic</w:t>
            </w:r>
            <w:r w:rsidR="00937A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log(k) = -16 or -15.3</w:t>
            </w:r>
            <w:r w:rsidR="00937A5E">
              <w:rPr>
                <w:rFonts w:ascii="Times New Roman" w:hAnsi="Times New Roman" w:cs="Times New Roman"/>
                <w:sz w:val="24"/>
                <w:szCs w:val="24"/>
              </w:rPr>
              <w:t xml:space="preserve"> (varies with geolog</w:t>
            </w:r>
            <w:r w:rsidR="000127BF">
              <w:rPr>
                <w:rFonts w:ascii="Times New Roman" w:hAnsi="Times New Roman" w:cs="Times New Roman"/>
                <w:sz w:val="24"/>
                <w:szCs w:val="24"/>
              </w:rPr>
              <w:t>ical layer</w:t>
            </w:r>
            <w:r w:rsidR="00937A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1" w:type="dxa"/>
          </w:tcPr>
          <w:p w:rsidR="0077613B" w:rsidRDefault="00937A5E" w:rsidP="0093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log(k)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(fixed)</w:t>
            </w:r>
          </w:p>
        </w:tc>
        <w:tc>
          <w:tcPr>
            <w:tcW w:w="1927" w:type="dxa"/>
          </w:tcPr>
          <w:p w:rsidR="0077613B" w:rsidRDefault="0093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77613B" w:rsidTr="00937A5E">
        <w:tc>
          <w:tcPr>
            <w:tcW w:w="1837" w:type="dxa"/>
          </w:tcPr>
          <w:p w:rsidR="0077613B" w:rsidRDefault="0077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Damage zone</w:t>
            </w:r>
          </w:p>
        </w:tc>
        <w:tc>
          <w:tcPr>
            <w:tcW w:w="3311" w:type="dxa"/>
          </w:tcPr>
          <w:p w:rsidR="0077613B" w:rsidRPr="0077613B" w:rsidRDefault="0077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= -15, log(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= -14.7</w:t>
            </w:r>
          </w:p>
        </w:tc>
        <w:tc>
          <w:tcPr>
            <w:tcW w:w="2501" w:type="dxa"/>
          </w:tcPr>
          <w:p w:rsidR="0077613B" w:rsidRDefault="0093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log(k)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 (fixed)</w:t>
            </w:r>
          </w:p>
        </w:tc>
        <w:tc>
          <w:tcPr>
            <w:tcW w:w="1927" w:type="dxa"/>
          </w:tcPr>
          <w:p w:rsidR="0077613B" w:rsidRDefault="0093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77613B" w:rsidTr="00937A5E">
        <w:tc>
          <w:tcPr>
            <w:tcW w:w="1837" w:type="dxa"/>
          </w:tcPr>
          <w:p w:rsidR="0077613B" w:rsidRDefault="0077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Fault gouge</w:t>
            </w:r>
          </w:p>
        </w:tc>
        <w:tc>
          <w:tcPr>
            <w:tcW w:w="3311" w:type="dxa"/>
          </w:tcPr>
          <w:p w:rsidR="0077613B" w:rsidRPr="00937A5E" w:rsidRDefault="00937A5E" w:rsidP="0093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= -12, log(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= -11.70</w:t>
            </w:r>
          </w:p>
        </w:tc>
        <w:tc>
          <w:tcPr>
            <w:tcW w:w="2501" w:type="dxa"/>
          </w:tcPr>
          <w:p w:rsidR="0077613B" w:rsidRDefault="0093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log(k) = -13</w:t>
            </w:r>
          </w:p>
        </w:tc>
        <w:tc>
          <w:tcPr>
            <w:tcW w:w="1927" w:type="dxa"/>
          </w:tcPr>
          <w:p w:rsidR="0077613B" w:rsidRDefault="0093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-11.66</w:t>
            </w:r>
          </w:p>
        </w:tc>
      </w:tr>
    </w:tbl>
    <w:p w:rsidR="004F2BE6" w:rsidRDefault="004F2BE6">
      <w:pPr>
        <w:rPr>
          <w:rFonts w:ascii="Times New Roman" w:hAnsi="Times New Roman" w:cs="Times New Roman"/>
          <w:sz w:val="24"/>
          <w:szCs w:val="24"/>
        </w:rPr>
      </w:pPr>
    </w:p>
    <w:p w:rsidR="004F2BE6" w:rsidRPr="00906A84" w:rsidRDefault="004F2BE6">
      <w:pPr>
        <w:rPr>
          <w:rFonts w:ascii="Times New Roman" w:hAnsi="Times New Roman" w:cs="Times New Roman"/>
          <w:sz w:val="28"/>
        </w:rPr>
      </w:pPr>
    </w:p>
    <w:sectPr w:rsidR="004F2BE6" w:rsidRPr="0090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84"/>
    <w:rsid w:val="000127BF"/>
    <w:rsid w:val="0019584C"/>
    <w:rsid w:val="00445541"/>
    <w:rsid w:val="004F2BE6"/>
    <w:rsid w:val="0077613B"/>
    <w:rsid w:val="007C2D9C"/>
    <w:rsid w:val="007D5754"/>
    <w:rsid w:val="00906A84"/>
    <w:rsid w:val="00937A5E"/>
    <w:rsid w:val="00E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F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F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YoojinJung</dc:creator>
  <cp:lastModifiedBy> Christine Doughty</cp:lastModifiedBy>
  <cp:revision>2</cp:revision>
  <dcterms:created xsi:type="dcterms:W3CDTF">2018-03-09T01:50:00Z</dcterms:created>
  <dcterms:modified xsi:type="dcterms:W3CDTF">2018-03-09T01:50:00Z</dcterms:modified>
</cp:coreProperties>
</file>