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73A" w14:textId="5E4E1C1A" w:rsidR="009825F4" w:rsidRPr="00E169A7" w:rsidRDefault="00E169A7" w:rsidP="006559DF">
      <w:pPr>
        <w:pStyle w:val="NoSpacing"/>
      </w:pPr>
      <w:r w:rsidRPr="00E169A7">
        <w:t>Reference on Literature Data on Foam Stability</w:t>
      </w:r>
    </w:p>
    <w:p w14:paraId="75990C1A" w14:textId="318E5E8D" w:rsidR="00E169A7" w:rsidRDefault="00E169A7" w:rsidP="006559DF">
      <w:r w:rsidRPr="00E169A7">
        <w:t xml:space="preserve">S. Ahmed, K. A. Elraies, M. R. Hashmet, and A. S. Hanamertani, “Viscosity models for polymer free CO2 foam fracturing fluid with the effect of surfactant concentration, salinity and shear rate,” </w:t>
      </w:r>
      <w:r w:rsidRPr="00E169A7">
        <w:rPr>
          <w:i/>
          <w:iCs/>
        </w:rPr>
        <w:t>Energies</w:t>
      </w:r>
      <w:r w:rsidRPr="00E169A7">
        <w:t>, vol. 10, no. 12, pp. 12–17, 2017, doi: 10.3390/en10121970.</w:t>
      </w:r>
    </w:p>
    <w:p w14:paraId="3DCE18BF" w14:textId="3F21F1AA" w:rsidR="00E169A7" w:rsidRPr="00E169A7" w:rsidRDefault="00E169A7" w:rsidP="006559DF">
      <w:r w:rsidRPr="007A222B">
        <w:rPr>
          <w:rFonts w:cs="Times New Roman"/>
          <w:noProof/>
          <w:szCs w:val="24"/>
        </w:rPr>
        <w:t xml:space="preserve">S. Ahmed, K. A. Elraies, M. R. Hashmet, and M. S. Alnarabiji, “Empirical modeling of the viscosity of supercritical carbon dioxide foam fracturing fluid under different downhole conditions,” </w:t>
      </w:r>
      <w:r w:rsidRPr="007A222B">
        <w:rPr>
          <w:rFonts w:cs="Times New Roman"/>
          <w:i/>
          <w:iCs/>
          <w:noProof/>
          <w:szCs w:val="24"/>
        </w:rPr>
        <w:t>Energies</w:t>
      </w:r>
      <w:r w:rsidRPr="007A222B">
        <w:rPr>
          <w:rFonts w:cs="Times New Roman"/>
          <w:noProof/>
          <w:szCs w:val="24"/>
        </w:rPr>
        <w:t>, vol. 11, no. 4, 2018, doi: 10.3390/en11040782.</w:t>
      </w:r>
    </w:p>
    <w:p w14:paraId="1440D942" w14:textId="3DD12C93" w:rsidR="00E169A7" w:rsidRPr="00E169A7" w:rsidRDefault="00E169A7" w:rsidP="006559DF">
      <w:r w:rsidRPr="007A222B">
        <w:rPr>
          <w:rFonts w:cs="Times New Roman"/>
          <w:noProof/>
          <w:szCs w:val="24"/>
        </w:rPr>
        <w:t xml:space="preserve">P. C. Harris and V. G. Reidenbach, “High-Temperature Rheological Study of Foam Fracturing Fluids.,” </w:t>
      </w:r>
      <w:r w:rsidRPr="007A222B">
        <w:rPr>
          <w:rFonts w:cs="Times New Roman"/>
          <w:i/>
          <w:iCs/>
          <w:noProof/>
          <w:szCs w:val="24"/>
        </w:rPr>
        <w:t>JPT, J. Pet. Technol.</w:t>
      </w:r>
      <w:r w:rsidRPr="007A222B">
        <w:rPr>
          <w:rFonts w:cs="Times New Roman"/>
          <w:noProof/>
          <w:szCs w:val="24"/>
        </w:rPr>
        <w:t>, vol. 39, no. 5, pp. 613–619, 1987, doi: 10.2118/13177-PA.</w:t>
      </w:r>
    </w:p>
    <w:p w14:paraId="1CA7D048" w14:textId="05A47979" w:rsidR="00E169A7" w:rsidRPr="00E169A7" w:rsidRDefault="00E169A7" w:rsidP="006559DF">
      <w:r w:rsidRPr="007A222B">
        <w:rPr>
          <w:rFonts w:cs="Times New Roman"/>
          <w:noProof/>
          <w:szCs w:val="24"/>
        </w:rPr>
        <w:t xml:space="preserve">P. C. Harris, “Chemistry and rheology of borate-crosslinked fluids at temperatures to 300°F,” </w:t>
      </w:r>
      <w:r w:rsidRPr="007A222B">
        <w:rPr>
          <w:rFonts w:cs="Times New Roman"/>
          <w:i/>
          <w:iCs/>
          <w:noProof/>
          <w:szCs w:val="24"/>
        </w:rPr>
        <w:t>JPT, J. Pet. Technol.</w:t>
      </w:r>
      <w:r w:rsidRPr="007A222B">
        <w:rPr>
          <w:rFonts w:cs="Times New Roman"/>
          <w:noProof/>
          <w:szCs w:val="24"/>
        </w:rPr>
        <w:t>, vol. 45, no. 3, pp. 264–269, 1993, doi: 10.2118/24339-PA.</w:t>
      </w:r>
    </w:p>
    <w:p w14:paraId="11D4CABC" w14:textId="0C0FED65" w:rsidR="00E169A7" w:rsidRPr="00E169A7" w:rsidRDefault="00E169A7" w:rsidP="006559DF">
      <w:r w:rsidRPr="007A222B">
        <w:rPr>
          <w:rFonts w:cs="Times New Roman"/>
          <w:noProof/>
          <w:szCs w:val="24"/>
        </w:rPr>
        <w:t xml:space="preserve">H. Wang, W. Guo, C. Zheng, D. Wang, and H. Zhan, “Effect of Temperature on Foaming Ability and Foam Stability of Typical Surfactants Used for Foaming Agent,” </w:t>
      </w:r>
      <w:r w:rsidRPr="007A222B">
        <w:rPr>
          <w:rFonts w:cs="Times New Roman"/>
          <w:i/>
          <w:iCs/>
          <w:noProof/>
          <w:szCs w:val="24"/>
        </w:rPr>
        <w:t>J. Surfactants Deterg.</w:t>
      </w:r>
      <w:r w:rsidRPr="007A222B">
        <w:rPr>
          <w:rFonts w:cs="Times New Roman"/>
          <w:noProof/>
          <w:szCs w:val="24"/>
        </w:rPr>
        <w:t>, vol. 20, no. 3, pp. 615–622, 2017, doi: 10.1007/s11743-017-1953-9.</w:t>
      </w:r>
    </w:p>
    <w:p w14:paraId="5A12FDB4" w14:textId="6A2228A2" w:rsidR="00E169A7" w:rsidRDefault="00E169A7" w:rsidP="006559DF">
      <w:r w:rsidRPr="00E169A7">
        <w:t>Shehab Alzobaidi, Chang Da, Vu Tran, Maša Prodanović, Keith P. Johnston, High temperature ultralow water content carbon dioxide-in-water foam stabilized with viscoelastic zwitterionic surfactants, Journal of Colloid and Interface Science, Volume 488, 2017, Pages 79-91, ISSN 0021-9797.</w:t>
      </w:r>
    </w:p>
    <w:p w14:paraId="3B7DBA73" w14:textId="5BCFDB97" w:rsidR="006559DF" w:rsidRPr="006559DF" w:rsidRDefault="006559DF" w:rsidP="006559DF">
      <w:r w:rsidRPr="00756B0B">
        <w:rPr>
          <w:rFonts w:cs="Times New Roman"/>
          <w:noProof/>
          <w:szCs w:val="24"/>
        </w:rPr>
        <w:t xml:space="preserve">S. Richard D. Hutchins (SPE), and Matthew J, Miller, (SPE), “A circulating Foam Loop for Evaluating Foam at Conditions of Use,” </w:t>
      </w:r>
      <w:r w:rsidRPr="00756B0B">
        <w:rPr>
          <w:rFonts w:cs="Times New Roman"/>
          <w:i/>
          <w:iCs/>
          <w:noProof/>
          <w:szCs w:val="24"/>
        </w:rPr>
        <w:t>SPE Prod. Facil.</w:t>
      </w:r>
      <w:r w:rsidRPr="00756B0B">
        <w:rPr>
          <w:rFonts w:cs="Times New Roman"/>
          <w:noProof/>
          <w:szCs w:val="24"/>
        </w:rPr>
        <w:t>, vol. 20, no. 4, pp. 286–294, 2005.</w:t>
      </w:r>
    </w:p>
    <w:p w14:paraId="2A4B0BE0" w14:textId="77777777" w:rsidR="006559DF" w:rsidRPr="00756B0B" w:rsidRDefault="006559DF" w:rsidP="006559DF">
      <w:pPr>
        <w:rPr>
          <w:noProof/>
        </w:rPr>
      </w:pPr>
      <w:r w:rsidRPr="00756B0B">
        <w:rPr>
          <w:noProof/>
        </w:rPr>
        <w:t xml:space="preserve">Y. Chen </w:t>
      </w:r>
      <w:r w:rsidRPr="00756B0B">
        <w:rPr>
          <w:i/>
          <w:iCs/>
          <w:noProof/>
        </w:rPr>
        <w:t>et al.</w:t>
      </w:r>
      <w:r w:rsidRPr="00756B0B">
        <w:rPr>
          <w:noProof/>
        </w:rPr>
        <w:t xml:space="preserve">, “Switchable nonionic to cationic ethoxylated amine surfactants for CO 2 enhanced oil recovery in high-temperature, high-salinity carbonate reservoirs,” </w:t>
      </w:r>
      <w:r w:rsidRPr="00756B0B">
        <w:rPr>
          <w:i/>
          <w:iCs/>
          <w:noProof/>
        </w:rPr>
        <w:t>SPE J.</w:t>
      </w:r>
      <w:r w:rsidRPr="00756B0B">
        <w:rPr>
          <w:noProof/>
        </w:rPr>
        <w:t>, vol. 19, no. 2, pp. 249–259, 2014, doi: 10.2118/154222-PA.</w:t>
      </w:r>
    </w:p>
    <w:p w14:paraId="502804C0" w14:textId="78397F4F" w:rsidR="006559DF" w:rsidRPr="006559DF" w:rsidRDefault="006559DF" w:rsidP="006559DF">
      <w:r w:rsidRPr="00756B0B">
        <w:rPr>
          <w:rFonts w:cs="Times New Roman"/>
          <w:noProof/>
          <w:szCs w:val="24"/>
        </w:rPr>
        <w:t xml:space="preserve">Y. Chen </w:t>
      </w:r>
      <w:r w:rsidRPr="00756B0B">
        <w:rPr>
          <w:rFonts w:cs="Times New Roman"/>
          <w:i/>
          <w:iCs/>
          <w:noProof/>
          <w:szCs w:val="24"/>
        </w:rPr>
        <w:t>et al.</w:t>
      </w:r>
      <w:r w:rsidRPr="00756B0B">
        <w:rPr>
          <w:rFonts w:cs="Times New Roman"/>
          <w:noProof/>
          <w:szCs w:val="24"/>
        </w:rPr>
        <w:t xml:space="preserve">, “High temperature CO2-in-water foams stabilized with cationic quaternary ammonium surfactants,” </w:t>
      </w:r>
      <w:r w:rsidRPr="00756B0B">
        <w:rPr>
          <w:rFonts w:cs="Times New Roman"/>
          <w:i/>
          <w:iCs/>
          <w:noProof/>
          <w:szCs w:val="24"/>
        </w:rPr>
        <w:t>J. Chem. Eng. Data</w:t>
      </w:r>
      <w:r w:rsidRPr="00756B0B">
        <w:rPr>
          <w:rFonts w:cs="Times New Roman"/>
          <w:noProof/>
          <w:szCs w:val="24"/>
        </w:rPr>
        <w:t>, vol. 61, no. 8, pp. 2761–2770, 2016, doi: 10.1021/acs.jced.6b00135.</w:t>
      </w:r>
    </w:p>
    <w:p w14:paraId="50D5E179" w14:textId="60C0B05B" w:rsidR="006559DF" w:rsidRPr="006559DF" w:rsidRDefault="006559DF" w:rsidP="006559DF">
      <w:r w:rsidRPr="00756B0B">
        <w:rPr>
          <w:rFonts w:cs="Times New Roman"/>
          <w:noProof/>
          <w:szCs w:val="24"/>
        </w:rPr>
        <w:t>V. Thakore, F. Ren, J. Voytek, H. Wang, J. J. Wang, and Y. Polsky, “High Temperature Stability of Aqueous Foams for Potential Application in Enhanced Geothermal System ( EGS ),” pp. 336–347, 2021.</w:t>
      </w:r>
    </w:p>
    <w:p w14:paraId="5B3A8194" w14:textId="113C3539" w:rsidR="006559DF" w:rsidRPr="006559DF" w:rsidRDefault="006559DF" w:rsidP="006559DF">
      <w:r w:rsidRPr="00756B0B">
        <w:rPr>
          <w:rFonts w:cs="Times New Roman"/>
          <w:noProof/>
          <w:szCs w:val="24"/>
        </w:rPr>
        <w:t xml:space="preserve">V. Thakore </w:t>
      </w:r>
      <w:r w:rsidRPr="00756B0B">
        <w:rPr>
          <w:rFonts w:cs="Times New Roman"/>
          <w:i/>
          <w:iCs/>
          <w:noProof/>
          <w:szCs w:val="24"/>
        </w:rPr>
        <w:t>et al.</w:t>
      </w:r>
      <w:r w:rsidRPr="00756B0B">
        <w:rPr>
          <w:rFonts w:cs="Times New Roman"/>
          <w:noProof/>
          <w:szCs w:val="24"/>
        </w:rPr>
        <w:t xml:space="preserve">, “High-Temperature Stability of Aqueous Foams as Potential Waterless Hydrofracking Fluid for Geothermal Reservoir Stimulation,” </w:t>
      </w:r>
      <w:r w:rsidRPr="00756B0B">
        <w:rPr>
          <w:rFonts w:cs="Times New Roman"/>
          <w:i/>
          <w:iCs/>
          <w:noProof/>
          <w:szCs w:val="24"/>
        </w:rPr>
        <w:t>PROCEEDINGS, 45th Work. Geotherm. Reserv. Eng. Stanford Univ. Stanford, California, Febr. 10-12, 2020 SGP-TR-216</w:t>
      </w:r>
      <w:r w:rsidRPr="00756B0B">
        <w:rPr>
          <w:rFonts w:cs="Times New Roman"/>
          <w:noProof/>
          <w:szCs w:val="24"/>
        </w:rPr>
        <w:t>, pp. 1–10, 2020.</w:t>
      </w:r>
    </w:p>
    <w:p w14:paraId="4DD28FAB" w14:textId="5A030F44" w:rsidR="006559DF" w:rsidRPr="006559DF" w:rsidRDefault="006559DF" w:rsidP="006559DF">
      <w:r w:rsidRPr="00756B0B">
        <w:rPr>
          <w:rFonts w:cs="Times New Roman"/>
          <w:noProof/>
          <w:szCs w:val="24"/>
        </w:rPr>
        <w:lastRenderedPageBreak/>
        <w:t xml:space="preserve">P. Zhang </w:t>
      </w:r>
      <w:r w:rsidRPr="00756B0B">
        <w:rPr>
          <w:rFonts w:cs="Times New Roman"/>
          <w:i/>
          <w:iCs/>
          <w:noProof/>
          <w:szCs w:val="24"/>
        </w:rPr>
        <w:t>et al.</w:t>
      </w:r>
      <w:r w:rsidRPr="00756B0B">
        <w:rPr>
          <w:rFonts w:cs="Times New Roman"/>
          <w:noProof/>
          <w:szCs w:val="24"/>
        </w:rPr>
        <w:t xml:space="preserve">, “Enhanced stability and high temperature-tolerance of CO2 foam based on a long-chain viscoelastic surfactant for CO2 foam flooding,” </w:t>
      </w:r>
      <w:r w:rsidRPr="00756B0B">
        <w:rPr>
          <w:rFonts w:cs="Times New Roman"/>
          <w:i/>
          <w:iCs/>
          <w:noProof/>
          <w:szCs w:val="24"/>
        </w:rPr>
        <w:t>RSC Adv.</w:t>
      </w:r>
      <w:r w:rsidRPr="00756B0B">
        <w:rPr>
          <w:rFonts w:cs="Times New Roman"/>
          <w:noProof/>
          <w:szCs w:val="24"/>
        </w:rPr>
        <w:t>, vol. 9, no. 15, pp. 8672–8683, 2019, doi: 10.1039/c9ra00237e.</w:t>
      </w:r>
    </w:p>
    <w:p w14:paraId="426D9B83" w14:textId="4EFC52AD" w:rsidR="006559DF" w:rsidRDefault="006559DF" w:rsidP="006559DF">
      <w:r w:rsidRPr="006559DF">
        <w:t xml:space="preserve">Y. Wang </w:t>
      </w:r>
      <w:r w:rsidRPr="006559DF">
        <w:rPr>
          <w:i/>
          <w:iCs/>
        </w:rPr>
        <w:t>et al.</w:t>
      </w:r>
      <w:r w:rsidRPr="006559DF">
        <w:t xml:space="preserve">, “The stability study of CO2 foams at high pressure and high temperature,” </w:t>
      </w:r>
      <w:r w:rsidRPr="006559DF">
        <w:rPr>
          <w:i/>
          <w:iCs/>
        </w:rPr>
        <w:t>J. Pet. Sci. Eng.</w:t>
      </w:r>
      <w:r w:rsidRPr="006559DF">
        <w:t>, vol. 154, no. April, pp. 234–243, 2017, doi: 10.1016/j.petrol.2017.04.029</w:t>
      </w:r>
      <w:r>
        <w:t>.</w:t>
      </w:r>
    </w:p>
    <w:p w14:paraId="40FC86A6" w14:textId="6B5A9C82" w:rsidR="001C05A0" w:rsidRDefault="008D152C" w:rsidP="006559DF">
      <w:r w:rsidRPr="00C83D26">
        <w:rPr>
          <w:rFonts w:cs="Times New Roman"/>
          <w:noProof/>
          <w:szCs w:val="24"/>
        </w:rPr>
        <w:t xml:space="preserve">S. M. Lu, “A global review of enhanced geothermal system (EGS),” </w:t>
      </w:r>
      <w:r w:rsidRPr="00C83D26">
        <w:rPr>
          <w:rFonts w:cs="Times New Roman"/>
          <w:i/>
          <w:iCs/>
          <w:noProof/>
          <w:szCs w:val="24"/>
        </w:rPr>
        <w:t>Renew. Sustain. Energy Rev.</w:t>
      </w:r>
      <w:r w:rsidRPr="00C83D26">
        <w:rPr>
          <w:rFonts w:cs="Times New Roman"/>
          <w:noProof/>
          <w:szCs w:val="24"/>
        </w:rPr>
        <w:t>, vol. 81, no. June 2017, pp. 2902–2921, 2018</w:t>
      </w:r>
      <w:r>
        <w:rPr>
          <w:rFonts w:cs="Times New Roman"/>
          <w:noProof/>
          <w:szCs w:val="24"/>
        </w:rPr>
        <w:t>.</w:t>
      </w:r>
    </w:p>
    <w:p w14:paraId="78A728E7" w14:textId="1D776C96" w:rsidR="006559DF" w:rsidRDefault="006559DF" w:rsidP="006559DF">
      <w:r w:rsidRPr="006559DF">
        <w:t>Tyrode, Eric, Aldo Pizzino, and Orlando J. Rojas. "Foamability and foam stability at high pressures and temperatures. I. Instrument validation." </w:t>
      </w:r>
      <w:r w:rsidRPr="006559DF">
        <w:rPr>
          <w:i/>
          <w:iCs/>
        </w:rPr>
        <w:t>Review of Scientific Instruments</w:t>
      </w:r>
      <w:r w:rsidRPr="006559DF">
        <w:t> 74.5 (2003): 2925-2932.</w:t>
      </w:r>
    </w:p>
    <w:p w14:paraId="098D6E78" w14:textId="11D39902" w:rsidR="00D01144" w:rsidRDefault="00D01144" w:rsidP="006559DF">
      <w:r w:rsidRPr="00C83D26">
        <w:rPr>
          <w:rFonts w:cs="Times New Roman"/>
          <w:noProof/>
          <w:szCs w:val="24"/>
        </w:rPr>
        <w:t xml:space="preserve">E. Rio, W. Drenckhan, A. Salonen, and D. Langevin, “Unusually stable liquid foams,” </w:t>
      </w:r>
      <w:r w:rsidRPr="00C83D26">
        <w:rPr>
          <w:rFonts w:cs="Times New Roman"/>
          <w:i/>
          <w:iCs/>
          <w:noProof/>
          <w:szCs w:val="24"/>
        </w:rPr>
        <w:t>Adv. Colloid Interface Sci.</w:t>
      </w:r>
      <w:r w:rsidRPr="00C83D26">
        <w:rPr>
          <w:rFonts w:cs="Times New Roman"/>
          <w:noProof/>
          <w:szCs w:val="24"/>
        </w:rPr>
        <w:t>, vol. 205, pp. 74–86, 2014</w:t>
      </w:r>
    </w:p>
    <w:p w14:paraId="7542B57E" w14:textId="443713FA" w:rsidR="00590B39" w:rsidRPr="0009654C" w:rsidRDefault="0009654C" w:rsidP="006559DF">
      <w:r w:rsidRPr="00756B0B">
        <w:rPr>
          <w:rFonts w:cs="Times New Roman"/>
          <w:noProof/>
          <w:szCs w:val="24"/>
        </w:rPr>
        <w:t xml:space="preserve">P. Olasolo, M. C. Juárez, M. P. Morales, S. Damico, and I. A. Liarte, “Enhanced geothermal systems (EGS): A review,” </w:t>
      </w:r>
      <w:r w:rsidRPr="00756B0B">
        <w:rPr>
          <w:rFonts w:cs="Times New Roman"/>
          <w:i/>
          <w:iCs/>
          <w:noProof/>
          <w:szCs w:val="24"/>
        </w:rPr>
        <w:t>Renew. Sustain. Energy Rev.</w:t>
      </w:r>
      <w:r w:rsidRPr="00756B0B">
        <w:rPr>
          <w:rFonts w:cs="Times New Roman"/>
          <w:noProof/>
          <w:szCs w:val="24"/>
        </w:rPr>
        <w:t>, vol. 56, pp. 133–144, 2016, doi: 10.1016/j.rser.2015.11.031.</w:t>
      </w:r>
    </w:p>
    <w:p w14:paraId="10064467" w14:textId="02AEC815" w:rsidR="0009654C" w:rsidRPr="00476727" w:rsidRDefault="00BF3E3B" w:rsidP="006559DF">
      <w:r w:rsidRPr="00756B0B">
        <w:rPr>
          <w:rFonts w:cs="Times New Roman"/>
          <w:noProof/>
          <w:szCs w:val="24"/>
        </w:rPr>
        <w:t xml:space="preserve">C. E. Clark, C. B. Harto, J. L. Sullivan, and M. Q. Wang, “Water Use in the Development and Operation of Geothermal Power Plants,” </w:t>
      </w:r>
      <w:r w:rsidRPr="00756B0B">
        <w:rPr>
          <w:rFonts w:cs="Times New Roman"/>
          <w:i/>
          <w:iCs/>
          <w:noProof/>
          <w:szCs w:val="24"/>
        </w:rPr>
        <w:t>Energy Syst. Div. Argonne Natl. Lab.</w:t>
      </w:r>
      <w:r w:rsidRPr="00756B0B">
        <w:rPr>
          <w:rFonts w:cs="Times New Roman"/>
          <w:noProof/>
          <w:szCs w:val="24"/>
        </w:rPr>
        <w:t>, no. January, pp. 1–87, 2010, doi: 10.2172/1013997.</w:t>
      </w:r>
    </w:p>
    <w:p w14:paraId="063E72F2" w14:textId="24CC72ED" w:rsidR="00476727" w:rsidRPr="00DC12C0" w:rsidRDefault="00476727" w:rsidP="006559DF">
      <w:r w:rsidRPr="00C83D26">
        <w:rPr>
          <w:rFonts w:cs="Times New Roman"/>
          <w:noProof/>
          <w:szCs w:val="24"/>
        </w:rPr>
        <w:t xml:space="preserve">I. O. Kohshou </w:t>
      </w:r>
      <w:r w:rsidRPr="00C83D26">
        <w:rPr>
          <w:rFonts w:cs="Times New Roman"/>
          <w:i/>
          <w:iCs/>
          <w:noProof/>
          <w:szCs w:val="24"/>
        </w:rPr>
        <w:t>et al.</w:t>
      </w:r>
      <w:r w:rsidRPr="00C83D26">
        <w:rPr>
          <w:rFonts w:cs="Times New Roman"/>
          <w:noProof/>
          <w:szCs w:val="24"/>
        </w:rPr>
        <w:t>, “Econ nomic Assessm ment and d Review w of Waterless s Fractu uring Techn nologies s in Sha ale Reso ource Developm ment : A Case Study,” 2017.</w:t>
      </w:r>
    </w:p>
    <w:p w14:paraId="5C1A8E7F" w14:textId="78A50EBB" w:rsidR="00DC12C0" w:rsidRPr="00BF65F1" w:rsidRDefault="00DC12C0" w:rsidP="006559DF">
      <w:r w:rsidRPr="00756B0B">
        <w:rPr>
          <w:rFonts w:cs="Times New Roman"/>
          <w:noProof/>
          <w:szCs w:val="24"/>
        </w:rPr>
        <w:t xml:space="preserve">W. A. M. Wanniarachchi, P. G. Ranjith, and M. S. A. Perera, “Shale gas fracturing using foam-based fracturing fluid: a review,” </w:t>
      </w:r>
      <w:r w:rsidRPr="00756B0B">
        <w:rPr>
          <w:rFonts w:cs="Times New Roman"/>
          <w:i/>
          <w:iCs/>
          <w:noProof/>
          <w:szCs w:val="24"/>
        </w:rPr>
        <w:t>Environ. Earth Sci.</w:t>
      </w:r>
      <w:r w:rsidRPr="00756B0B">
        <w:rPr>
          <w:rFonts w:cs="Times New Roman"/>
          <w:noProof/>
          <w:szCs w:val="24"/>
        </w:rPr>
        <w:t>, vol. 76, no. 2, pp. 1–15, 2017, doi: 10.1007/s12665-017-6399-x.</w:t>
      </w:r>
    </w:p>
    <w:p w14:paraId="6F331E88" w14:textId="53DC04EA" w:rsidR="00BF65F1" w:rsidRPr="00ED71D5" w:rsidRDefault="00BF65F1" w:rsidP="006559DF">
      <w:r w:rsidRPr="00756B0B">
        <w:rPr>
          <w:rFonts w:cs="Times New Roman"/>
          <w:noProof/>
          <w:szCs w:val="24"/>
        </w:rPr>
        <w:t xml:space="preserve">F. K. H., “Comparison of conventional hydrulic and water/nitrogen foam fracturing in two Ohio Devonian shale gas wells,” </w:t>
      </w:r>
      <w:r w:rsidRPr="00756B0B">
        <w:rPr>
          <w:rFonts w:cs="Times New Roman"/>
          <w:i/>
          <w:iCs/>
          <w:noProof/>
          <w:szCs w:val="24"/>
        </w:rPr>
        <w:t>Pap. Knowl. . Towar. a Media Hist. Doc.</w:t>
      </w:r>
      <w:r w:rsidRPr="00756B0B">
        <w:rPr>
          <w:rFonts w:cs="Times New Roman"/>
          <w:noProof/>
          <w:szCs w:val="24"/>
        </w:rPr>
        <w:t>, no. February, pp. 12–26, 1976.</w:t>
      </w:r>
    </w:p>
    <w:p w14:paraId="3AB56597" w14:textId="313601A3" w:rsidR="00ED71D5" w:rsidRPr="00ED71D5" w:rsidRDefault="00ED71D5" w:rsidP="006559DF">
      <w:r w:rsidRPr="00756B0B">
        <w:rPr>
          <w:rFonts w:cs="Times New Roman"/>
          <w:noProof/>
          <w:szCs w:val="24"/>
        </w:rPr>
        <w:t xml:space="preserve">W. A. M. Wanniarachchi, P. G. Ranjith, M. S. A. Perera, A. Lashin, N. Al Arifi, and J. C. Li, “Current opinions on foam-based hydro-fracturing in deep geological reservoirs,” </w:t>
      </w:r>
      <w:r w:rsidRPr="00756B0B">
        <w:rPr>
          <w:rFonts w:cs="Times New Roman"/>
          <w:i/>
          <w:iCs/>
          <w:noProof/>
          <w:szCs w:val="24"/>
        </w:rPr>
        <w:t>Geomech. Geophys. Geo-Energy Geo-Resources</w:t>
      </w:r>
      <w:r w:rsidRPr="00756B0B">
        <w:rPr>
          <w:rFonts w:cs="Times New Roman"/>
          <w:noProof/>
          <w:szCs w:val="24"/>
        </w:rPr>
        <w:t>, vol. 1, no. 3–4, pp. 121–134, 2015</w:t>
      </w:r>
      <w:r>
        <w:rPr>
          <w:rFonts w:cs="Times New Roman"/>
          <w:noProof/>
          <w:szCs w:val="24"/>
        </w:rPr>
        <w:t>.</w:t>
      </w:r>
    </w:p>
    <w:p w14:paraId="7FE9A7DF" w14:textId="51C6CF8A" w:rsidR="00ED71D5" w:rsidRPr="001A712C" w:rsidRDefault="00A82825" w:rsidP="006559DF">
      <w:r w:rsidRPr="00756B0B">
        <w:rPr>
          <w:rFonts w:cs="Times New Roman"/>
          <w:noProof/>
          <w:szCs w:val="24"/>
        </w:rPr>
        <w:t xml:space="preserve">N. Yekeen, E. Padmanabhan, and A. K. Idris, “A review of recent advances in foam-based fracturing fluid application in unconventional reservoirs,” </w:t>
      </w:r>
      <w:r w:rsidRPr="00756B0B">
        <w:rPr>
          <w:rFonts w:cs="Times New Roman"/>
          <w:i/>
          <w:iCs/>
          <w:noProof/>
          <w:szCs w:val="24"/>
        </w:rPr>
        <w:t>J. Ind. Eng. Chem.</w:t>
      </w:r>
      <w:r w:rsidRPr="00756B0B">
        <w:rPr>
          <w:rFonts w:cs="Times New Roman"/>
          <w:noProof/>
          <w:szCs w:val="24"/>
        </w:rPr>
        <w:t>, vol. 66, pp. 45–71, 2018, doi: 10.1016/j.jiec.2018.05.039.</w:t>
      </w:r>
    </w:p>
    <w:p w14:paraId="5314B43B" w14:textId="41DB004E" w:rsidR="001A712C" w:rsidRPr="001A712C" w:rsidRDefault="001A712C" w:rsidP="006559DF">
      <w:r w:rsidRPr="00756B0B">
        <w:rPr>
          <w:rFonts w:cs="Times New Roman"/>
          <w:noProof/>
          <w:szCs w:val="24"/>
        </w:rPr>
        <w:t xml:space="preserve">K. Wilk, “Experimental and simulation studies of energized fracturing fluid effciency in tight gas formations,” </w:t>
      </w:r>
      <w:r w:rsidRPr="00756B0B">
        <w:rPr>
          <w:rFonts w:cs="Times New Roman"/>
          <w:i/>
          <w:iCs/>
          <w:noProof/>
          <w:szCs w:val="24"/>
        </w:rPr>
        <w:t>Energies</w:t>
      </w:r>
      <w:r w:rsidRPr="00756B0B">
        <w:rPr>
          <w:rFonts w:cs="Times New Roman"/>
          <w:noProof/>
          <w:szCs w:val="24"/>
        </w:rPr>
        <w:t>, vol. 12, no. 23, 2019, doi: 10.3390/en12234465.</w:t>
      </w:r>
    </w:p>
    <w:p w14:paraId="09A78CBA" w14:textId="2EFFB209" w:rsidR="001A712C" w:rsidRPr="001D4A63" w:rsidRDefault="009F6032" w:rsidP="006559DF">
      <w:r w:rsidRPr="00756B0B">
        <w:rPr>
          <w:rFonts w:cs="Times New Roman"/>
          <w:noProof/>
          <w:szCs w:val="24"/>
        </w:rPr>
        <w:lastRenderedPageBreak/>
        <w:t xml:space="preserve">S. A. Faroughi, A. J. C. J. Pruvot, and J. McAndrew, “The rheological behavior of energized fluids and foams with application to hydraulic fracturing: Review,” </w:t>
      </w:r>
      <w:r w:rsidRPr="00756B0B">
        <w:rPr>
          <w:rFonts w:cs="Times New Roman"/>
          <w:i/>
          <w:iCs/>
          <w:noProof/>
          <w:szCs w:val="24"/>
        </w:rPr>
        <w:t>J. Pet. Sci. Eng.</w:t>
      </w:r>
      <w:r w:rsidRPr="00756B0B">
        <w:rPr>
          <w:rFonts w:cs="Times New Roman"/>
          <w:noProof/>
          <w:szCs w:val="24"/>
        </w:rPr>
        <w:t>, vol. 163, no. July 2017, pp. 243–263, 2018, doi: 10.1016/j.petrol.2017.12.051.</w:t>
      </w:r>
    </w:p>
    <w:p w14:paraId="225DDA90" w14:textId="52A8EA38" w:rsidR="001D4A63" w:rsidRPr="00B0630E" w:rsidRDefault="00B0630E" w:rsidP="006559DF">
      <w:r w:rsidRPr="00756B0B">
        <w:rPr>
          <w:rFonts w:cs="Times New Roman"/>
          <w:noProof/>
          <w:szCs w:val="24"/>
        </w:rPr>
        <w:t xml:space="preserve">H. Wang, W. Guo, C. Zheng, D. Wang, and H. Zhan, “Effect of Temperature on Foaming Ability and Foam Stability of Typical Surfactants Used for Foaming Agent,” </w:t>
      </w:r>
      <w:r w:rsidRPr="00756B0B">
        <w:rPr>
          <w:rFonts w:cs="Times New Roman"/>
          <w:i/>
          <w:iCs/>
          <w:noProof/>
          <w:szCs w:val="24"/>
        </w:rPr>
        <w:t>J. Surfactants Deterg.</w:t>
      </w:r>
      <w:r w:rsidRPr="00756B0B">
        <w:rPr>
          <w:rFonts w:cs="Times New Roman"/>
          <w:noProof/>
          <w:szCs w:val="24"/>
        </w:rPr>
        <w:t>, vol. 20, no. 3, pp. 615–622, 2017, doi: 10.1007/s11743-017-1953-9.</w:t>
      </w:r>
    </w:p>
    <w:p w14:paraId="352E39D1" w14:textId="795DB2C9" w:rsidR="00B0630E" w:rsidRPr="009F78E1" w:rsidRDefault="009F78E1" w:rsidP="006559DF">
      <w:r w:rsidRPr="00756B0B">
        <w:rPr>
          <w:rFonts w:cs="Times New Roman"/>
          <w:noProof/>
          <w:szCs w:val="24"/>
        </w:rPr>
        <w:t xml:space="preserve">R. J. B. M. Delahaije, F. J. Lech, and P. A. Wierenga, “Investigating the effect of temperature on the formation and stabilization of ovalbumin foams,” </w:t>
      </w:r>
      <w:r w:rsidRPr="00756B0B">
        <w:rPr>
          <w:rFonts w:cs="Times New Roman"/>
          <w:i/>
          <w:iCs/>
          <w:noProof/>
          <w:szCs w:val="24"/>
        </w:rPr>
        <w:t>Food Hydrocoll.</w:t>
      </w:r>
      <w:r w:rsidRPr="00756B0B">
        <w:rPr>
          <w:rFonts w:cs="Times New Roman"/>
          <w:noProof/>
          <w:szCs w:val="24"/>
        </w:rPr>
        <w:t>, vol. 91, no. November 2018, pp. 263–274, 2019, doi: 10.1016/j.foodhyd.2019.01.030.</w:t>
      </w:r>
    </w:p>
    <w:p w14:paraId="1AA0B97D" w14:textId="6754175B" w:rsidR="009F78E1" w:rsidRPr="0082764C" w:rsidRDefault="002C3D89" w:rsidP="006559DF">
      <w:r w:rsidRPr="00756B0B">
        <w:rPr>
          <w:rFonts w:cs="Times New Roman"/>
          <w:noProof/>
          <w:szCs w:val="24"/>
        </w:rPr>
        <w:t xml:space="preserve">S. Alzobaidi, C. Da, V. Tran, M. Prodanović, and K. P. Johnston, “High temperature ultralow water content carbon dioxide-in-water foam stabilized with viscoelastic zwitterionic surfactants,” </w:t>
      </w:r>
      <w:r w:rsidRPr="00756B0B">
        <w:rPr>
          <w:rFonts w:cs="Times New Roman"/>
          <w:i/>
          <w:iCs/>
          <w:noProof/>
          <w:szCs w:val="24"/>
        </w:rPr>
        <w:t>J. Colloid Interface Sci.</w:t>
      </w:r>
      <w:r w:rsidRPr="00756B0B">
        <w:rPr>
          <w:rFonts w:cs="Times New Roman"/>
          <w:noProof/>
          <w:szCs w:val="24"/>
        </w:rPr>
        <w:t>, vol. 488, pp. 79–91, 2017</w:t>
      </w:r>
      <w:r>
        <w:rPr>
          <w:rFonts w:cs="Times New Roman"/>
          <w:noProof/>
          <w:szCs w:val="24"/>
        </w:rPr>
        <w:t>.</w:t>
      </w:r>
    </w:p>
    <w:p w14:paraId="2010EF47" w14:textId="6ADDEC58" w:rsidR="0082764C" w:rsidRPr="0082764C" w:rsidRDefault="0082764C" w:rsidP="006559DF">
      <w:r w:rsidRPr="00756B0B">
        <w:rPr>
          <w:rFonts w:cs="Times New Roman"/>
          <w:noProof/>
          <w:szCs w:val="24"/>
        </w:rPr>
        <w:t xml:space="preserve">Q. Lv, Z. Li, B. Li, S. Li, and Q. Sun, “Study of Nanoparticle-Surfactant-Stabilized Foam as a Fracturing Fluid,” </w:t>
      </w:r>
      <w:r w:rsidRPr="00756B0B">
        <w:rPr>
          <w:rFonts w:cs="Times New Roman"/>
          <w:i/>
          <w:iCs/>
          <w:noProof/>
          <w:szCs w:val="24"/>
        </w:rPr>
        <w:t>Ind. Eng. Chem. Res.</w:t>
      </w:r>
      <w:r w:rsidRPr="00756B0B">
        <w:rPr>
          <w:rFonts w:cs="Times New Roman"/>
          <w:noProof/>
          <w:szCs w:val="24"/>
        </w:rPr>
        <w:t>, vol. 54, no. 38, pp. 9456–9477, 2015, doi: 10.1021/acs.iecr.5b02197.</w:t>
      </w:r>
    </w:p>
    <w:p w14:paraId="5EC0E25B" w14:textId="0AB3B000" w:rsidR="0082764C" w:rsidRPr="008F3C94" w:rsidRDefault="00AA720B" w:rsidP="006559DF">
      <w:r w:rsidRPr="00756B0B">
        <w:rPr>
          <w:rFonts w:cs="Times New Roman"/>
          <w:noProof/>
          <w:szCs w:val="24"/>
        </w:rPr>
        <w:t xml:space="preserve">A. S. Emrani and H. A. Nasr-El-Din, “Stabilizing CO2 foam by use of nanoparticles,” </w:t>
      </w:r>
      <w:r w:rsidRPr="00756B0B">
        <w:rPr>
          <w:rFonts w:cs="Times New Roman"/>
          <w:i/>
          <w:iCs/>
          <w:noProof/>
          <w:szCs w:val="24"/>
        </w:rPr>
        <w:t>SPE J.</w:t>
      </w:r>
      <w:r w:rsidRPr="00756B0B">
        <w:rPr>
          <w:rFonts w:cs="Times New Roman"/>
          <w:noProof/>
          <w:szCs w:val="24"/>
        </w:rPr>
        <w:t>, vol. 22, no. 2, pp. 494–504, 2017, doi: 10.2118/174254-PA.</w:t>
      </w:r>
    </w:p>
    <w:p w14:paraId="2A73B47C" w14:textId="645FDB02" w:rsidR="008F3C94" w:rsidRPr="00AA720B" w:rsidRDefault="008F3C94" w:rsidP="006559DF">
      <w:r w:rsidRPr="00C57D67">
        <w:rPr>
          <w:rFonts w:cs="Times New Roman"/>
          <w:noProof/>
          <w:szCs w:val="24"/>
        </w:rPr>
        <w:t xml:space="preserve">C. Fu and N. Liu, “Study of the Synergistic Effect of the Nanoparticle-Surfactant-Polymer System on CO2Foam Apparent Viscosity and Stability at High Pressure and Temperature,” </w:t>
      </w:r>
      <w:r w:rsidRPr="00C57D67">
        <w:rPr>
          <w:rFonts w:cs="Times New Roman"/>
          <w:i/>
          <w:iCs/>
          <w:noProof/>
          <w:szCs w:val="24"/>
        </w:rPr>
        <w:t>Energy and Fuels</w:t>
      </w:r>
      <w:r w:rsidRPr="00C57D67">
        <w:rPr>
          <w:rFonts w:cs="Times New Roman"/>
          <w:noProof/>
          <w:szCs w:val="24"/>
        </w:rPr>
        <w:t>, vol. 34, no. 11, pp. 13707–13716, 2020</w:t>
      </w:r>
      <w:r>
        <w:rPr>
          <w:rFonts w:cs="Times New Roman"/>
          <w:noProof/>
          <w:szCs w:val="24"/>
        </w:rPr>
        <w:t>.</w:t>
      </w:r>
    </w:p>
    <w:p w14:paraId="3B4833D3" w14:textId="4A0EA6CA" w:rsidR="00AA720B" w:rsidRPr="00590841" w:rsidRDefault="00F90653" w:rsidP="006559DF">
      <w:r w:rsidRPr="00756B0B">
        <w:rPr>
          <w:rFonts w:cs="Times New Roman"/>
          <w:noProof/>
          <w:szCs w:val="24"/>
        </w:rPr>
        <w:t>G. A. Al-muntasheri, E. Advanced, and S. Aramco, “Nanoparticle-Enhanced Hydraulic-Fracturing Fluids : A Review,” no. May, 2017.</w:t>
      </w:r>
    </w:p>
    <w:p w14:paraId="2F217C22" w14:textId="7DC8626F" w:rsidR="00590841" w:rsidRPr="00921F11" w:rsidRDefault="00590841" w:rsidP="006559DF">
      <w:r w:rsidRPr="00756B0B">
        <w:rPr>
          <w:rFonts w:cs="Times New Roman"/>
          <w:noProof/>
          <w:szCs w:val="24"/>
        </w:rPr>
        <w:t xml:space="preserve">S. Ahmed, K. A. Elraies, M. R. Hashmet, and A. S. Hanamertani, “Viscosity models for polymer free CO2 foam fracturing fluid with the effect of surfactant concentration, salinity and shear rate,” </w:t>
      </w:r>
      <w:r w:rsidRPr="00756B0B">
        <w:rPr>
          <w:rFonts w:cs="Times New Roman"/>
          <w:i/>
          <w:iCs/>
          <w:noProof/>
          <w:szCs w:val="24"/>
        </w:rPr>
        <w:t>Energies</w:t>
      </w:r>
      <w:r w:rsidRPr="00756B0B">
        <w:rPr>
          <w:rFonts w:cs="Times New Roman"/>
          <w:noProof/>
          <w:szCs w:val="24"/>
        </w:rPr>
        <w:t>, vol. 10, no. 12, pp. 12–17, 2017</w:t>
      </w:r>
      <w:r>
        <w:rPr>
          <w:rFonts w:cs="Times New Roman"/>
          <w:noProof/>
          <w:szCs w:val="24"/>
        </w:rPr>
        <w:t>.</w:t>
      </w:r>
    </w:p>
    <w:p w14:paraId="0B753DBB" w14:textId="101ED006" w:rsidR="00921F11" w:rsidRPr="00921F11" w:rsidRDefault="00921F11" w:rsidP="006559DF">
      <w:r w:rsidRPr="00756B0B">
        <w:rPr>
          <w:rFonts w:cs="Times New Roman"/>
          <w:noProof/>
          <w:szCs w:val="24"/>
        </w:rPr>
        <w:t xml:space="preserve">S. Ahmed, K. A. Elraies, M. R. Hashmet, and M. S. Alnarabiji, “Empirical modeling of the viscosity of supercritical carbon dioxide foam fracturing fluid under different downhole conditions,” </w:t>
      </w:r>
      <w:r w:rsidRPr="00756B0B">
        <w:rPr>
          <w:rFonts w:cs="Times New Roman"/>
          <w:i/>
          <w:iCs/>
          <w:noProof/>
          <w:szCs w:val="24"/>
        </w:rPr>
        <w:t>Energies</w:t>
      </w:r>
      <w:r w:rsidRPr="00756B0B">
        <w:rPr>
          <w:rFonts w:cs="Times New Roman"/>
          <w:noProof/>
          <w:szCs w:val="24"/>
        </w:rPr>
        <w:t>, vol. 11, no. 4, 2018</w:t>
      </w:r>
      <w:r>
        <w:rPr>
          <w:rFonts w:cs="Times New Roman"/>
          <w:noProof/>
          <w:szCs w:val="24"/>
        </w:rPr>
        <w:t>.</w:t>
      </w:r>
    </w:p>
    <w:p w14:paraId="091F27DD" w14:textId="7204FAC6" w:rsidR="00921F11" w:rsidRPr="00DC00B5" w:rsidRDefault="00DC00B5" w:rsidP="006559DF">
      <w:r w:rsidRPr="00756B0B">
        <w:rPr>
          <w:rFonts w:cs="Times New Roman"/>
          <w:noProof/>
          <w:szCs w:val="24"/>
        </w:rPr>
        <w:t xml:space="preserve">M. Gu and K. K. Mohanty, “Rheology of polymer-free foam fracturing fluids,” </w:t>
      </w:r>
      <w:r w:rsidRPr="00756B0B">
        <w:rPr>
          <w:rFonts w:cs="Times New Roman"/>
          <w:i/>
          <w:iCs/>
          <w:noProof/>
          <w:szCs w:val="24"/>
        </w:rPr>
        <w:t>J. Pet. Sci. Eng.</w:t>
      </w:r>
      <w:r w:rsidRPr="00756B0B">
        <w:rPr>
          <w:rFonts w:cs="Times New Roman"/>
          <w:noProof/>
          <w:szCs w:val="24"/>
        </w:rPr>
        <w:t>, vol. 134, pp. 87–96, 2015</w:t>
      </w:r>
      <w:r>
        <w:rPr>
          <w:rFonts w:cs="Times New Roman"/>
          <w:noProof/>
          <w:szCs w:val="24"/>
        </w:rPr>
        <w:t>.</w:t>
      </w:r>
    </w:p>
    <w:p w14:paraId="44156854" w14:textId="787A7172" w:rsidR="00DC00B5" w:rsidRPr="0069580A" w:rsidRDefault="0069580A" w:rsidP="006559DF">
      <w:r w:rsidRPr="00756B0B">
        <w:rPr>
          <w:rFonts w:cs="Times New Roman"/>
          <w:noProof/>
          <w:szCs w:val="24"/>
        </w:rPr>
        <w:t xml:space="preserve">G. I. S. Ranjani and K. Ramamurthy, “Analysis of the Foam Generated Using Surfactant Sodium Lauryl Sulfate,” </w:t>
      </w:r>
      <w:r w:rsidRPr="00756B0B">
        <w:rPr>
          <w:rFonts w:cs="Times New Roman"/>
          <w:i/>
          <w:iCs/>
          <w:noProof/>
          <w:szCs w:val="24"/>
        </w:rPr>
        <w:t>Int. J. Concr. Struct. Mater.</w:t>
      </w:r>
      <w:r w:rsidRPr="00756B0B">
        <w:rPr>
          <w:rFonts w:cs="Times New Roman"/>
          <w:noProof/>
          <w:szCs w:val="24"/>
        </w:rPr>
        <w:t>, vol. 4, no. 1, pp. 55–62, 2010</w:t>
      </w:r>
      <w:r>
        <w:rPr>
          <w:rFonts w:cs="Times New Roman"/>
          <w:noProof/>
          <w:szCs w:val="24"/>
        </w:rPr>
        <w:t>.</w:t>
      </w:r>
    </w:p>
    <w:p w14:paraId="0C5F2DC9" w14:textId="14CFE5F7" w:rsidR="0069580A" w:rsidRPr="00B84F49" w:rsidRDefault="00B84F49" w:rsidP="006559DF">
      <w:r w:rsidRPr="00756B0B">
        <w:rPr>
          <w:rFonts w:cs="Times New Roman"/>
          <w:noProof/>
          <w:szCs w:val="24"/>
        </w:rPr>
        <w:t xml:space="preserve">L. Li, G. A. Al-Muntasheri, and F. Liang, “A review of crosslinked fracturing fluids prepared with produced water,” </w:t>
      </w:r>
      <w:r w:rsidRPr="00756B0B">
        <w:rPr>
          <w:rFonts w:cs="Times New Roman"/>
          <w:i/>
          <w:iCs/>
          <w:noProof/>
          <w:szCs w:val="24"/>
        </w:rPr>
        <w:t>Petroleum</w:t>
      </w:r>
      <w:r w:rsidRPr="00756B0B">
        <w:rPr>
          <w:rFonts w:cs="Times New Roman"/>
          <w:noProof/>
          <w:szCs w:val="24"/>
        </w:rPr>
        <w:t>, vol. 2, no. 4, pp. 313–323, 2016</w:t>
      </w:r>
      <w:r>
        <w:rPr>
          <w:rFonts w:cs="Times New Roman"/>
          <w:noProof/>
          <w:szCs w:val="24"/>
        </w:rPr>
        <w:t>.</w:t>
      </w:r>
    </w:p>
    <w:p w14:paraId="06B5F134" w14:textId="30C746D5" w:rsidR="00B84F49" w:rsidRPr="00987FC8" w:rsidRDefault="00987FC8" w:rsidP="006559DF">
      <w:r w:rsidRPr="00756B0B">
        <w:rPr>
          <w:rFonts w:cs="Times New Roman"/>
          <w:noProof/>
          <w:szCs w:val="24"/>
        </w:rPr>
        <w:lastRenderedPageBreak/>
        <w:t xml:space="preserve">M. Ranka, P. Brown, and T. A. Hatton, “Responsive Stabilization of Nanoparticles for Extreme Salinity and High-Temperature Reservoir Applications,” </w:t>
      </w:r>
      <w:r w:rsidRPr="00756B0B">
        <w:rPr>
          <w:rFonts w:cs="Times New Roman"/>
          <w:i/>
          <w:iCs/>
          <w:noProof/>
          <w:szCs w:val="24"/>
        </w:rPr>
        <w:t>ACS Appl. Mater. Interfaces</w:t>
      </w:r>
      <w:r w:rsidRPr="00756B0B">
        <w:rPr>
          <w:rFonts w:cs="Times New Roman"/>
          <w:noProof/>
          <w:szCs w:val="24"/>
        </w:rPr>
        <w:t>, vol. 7, no. 35, pp. 19651–19658, 2015</w:t>
      </w:r>
      <w:r>
        <w:rPr>
          <w:rFonts w:cs="Times New Roman"/>
          <w:noProof/>
          <w:szCs w:val="24"/>
        </w:rPr>
        <w:t>.</w:t>
      </w:r>
    </w:p>
    <w:p w14:paraId="67F51F23" w14:textId="192DE7C2" w:rsidR="00987FC8" w:rsidRPr="003E79BC" w:rsidRDefault="003E79BC" w:rsidP="006559DF">
      <w:r w:rsidRPr="00756B0B">
        <w:rPr>
          <w:rFonts w:cs="Times New Roman"/>
          <w:noProof/>
          <w:szCs w:val="24"/>
        </w:rPr>
        <w:t xml:space="preserve">A. Verma, G. Chauhan, and K. Ojha, “Synergistic effects of polymer and bentonite clay on rheology and thermal stability of foam fluid developed for hydraulic fracturing,” </w:t>
      </w:r>
      <w:r w:rsidRPr="00756B0B">
        <w:rPr>
          <w:rFonts w:cs="Times New Roman"/>
          <w:i/>
          <w:iCs/>
          <w:noProof/>
          <w:szCs w:val="24"/>
        </w:rPr>
        <w:t>Asia-Pacific J. Chem. Eng.</w:t>
      </w:r>
      <w:r w:rsidRPr="00756B0B">
        <w:rPr>
          <w:rFonts w:cs="Times New Roman"/>
          <w:noProof/>
          <w:szCs w:val="24"/>
        </w:rPr>
        <w:t>, vol. 12, no. 6, pp. 872–883, 2017</w:t>
      </w:r>
      <w:r>
        <w:rPr>
          <w:rFonts w:cs="Times New Roman"/>
          <w:noProof/>
          <w:szCs w:val="24"/>
        </w:rPr>
        <w:t>.</w:t>
      </w:r>
    </w:p>
    <w:p w14:paraId="1120C9AF" w14:textId="52FCF071" w:rsidR="003E79BC" w:rsidRPr="008A470C" w:rsidRDefault="008A470C" w:rsidP="006559DF">
      <w:r w:rsidRPr="00756B0B">
        <w:rPr>
          <w:rFonts w:cs="Times New Roman"/>
          <w:noProof/>
          <w:szCs w:val="24"/>
        </w:rPr>
        <w:t xml:space="preserve">M. Simjoo, T. Rezaei, A. Andrianov, and P. L. J. Zitha, “Foam stability in the presence of oil: Effect of surfactant concentration and oil type,” </w:t>
      </w:r>
      <w:r w:rsidRPr="00756B0B">
        <w:rPr>
          <w:rFonts w:cs="Times New Roman"/>
          <w:i/>
          <w:iCs/>
          <w:noProof/>
          <w:szCs w:val="24"/>
        </w:rPr>
        <w:t>Colloids Surfaces A Physicochem. Eng. Asp.</w:t>
      </w:r>
      <w:r w:rsidRPr="00756B0B">
        <w:rPr>
          <w:rFonts w:cs="Times New Roman"/>
          <w:noProof/>
          <w:szCs w:val="24"/>
        </w:rPr>
        <w:t>, vol. 438, pp. 148–158, 2013</w:t>
      </w:r>
      <w:r>
        <w:rPr>
          <w:rFonts w:cs="Times New Roman"/>
          <w:noProof/>
          <w:szCs w:val="24"/>
        </w:rPr>
        <w:t>.</w:t>
      </w:r>
    </w:p>
    <w:p w14:paraId="41C891E9" w14:textId="3F6E9442" w:rsidR="008D152C" w:rsidRPr="00E169A7" w:rsidRDefault="00A10BEB" w:rsidP="00476727">
      <w:r w:rsidRPr="00756B0B">
        <w:rPr>
          <w:rFonts w:cs="Times New Roman"/>
          <w:noProof/>
          <w:szCs w:val="24"/>
        </w:rPr>
        <w:t xml:space="preserve">A. Azdarpour, O. Rahmani, E. Mohammadian, M. Parak, A. R. M. Daud, and R. Junin, “The effects of polymer and surfactant on polymer enhanced foam stability,” </w:t>
      </w:r>
      <w:r w:rsidRPr="00756B0B">
        <w:rPr>
          <w:rFonts w:cs="Times New Roman"/>
          <w:i/>
          <w:iCs/>
          <w:noProof/>
          <w:szCs w:val="24"/>
        </w:rPr>
        <w:t>BEIAC 2013 - 2013 IEEE Bus. Eng. Ind. Appl. Colloq.</w:t>
      </w:r>
      <w:r w:rsidRPr="00756B0B">
        <w:rPr>
          <w:rFonts w:cs="Times New Roman"/>
          <w:noProof/>
          <w:szCs w:val="24"/>
        </w:rPr>
        <w:t>, no. November 2018</w:t>
      </w:r>
      <w:r w:rsidR="008D152C">
        <w:rPr>
          <w:rFonts w:cs="Times New Roman"/>
          <w:noProof/>
          <w:szCs w:val="24"/>
        </w:rPr>
        <w:t>.</w:t>
      </w:r>
    </w:p>
    <w:sectPr w:rsidR="008D152C" w:rsidRPr="00E16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B1E"/>
    <w:multiLevelType w:val="hybridMultilevel"/>
    <w:tmpl w:val="C0C61C24"/>
    <w:lvl w:ilvl="0" w:tplc="300A7CC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03768"/>
    <w:multiLevelType w:val="hybridMultilevel"/>
    <w:tmpl w:val="7C7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22483"/>
    <w:multiLevelType w:val="hybridMultilevel"/>
    <w:tmpl w:val="0C3487D0"/>
    <w:lvl w:ilvl="0" w:tplc="73C83B0C">
      <w:start w:val="1"/>
      <w:numFmt w:val="decimal"/>
      <w:pStyle w:val="Nor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7568F"/>
    <w:multiLevelType w:val="hybridMultilevel"/>
    <w:tmpl w:val="E2FE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AwMzUwMbYwNLQ0trRQ0lEKTi0uzszPAykwrAUAm7/AdiwAAAA="/>
  </w:docVars>
  <w:rsids>
    <w:rsidRoot w:val="00E169A7"/>
    <w:rsid w:val="0001415F"/>
    <w:rsid w:val="00015C5E"/>
    <w:rsid w:val="00043DE2"/>
    <w:rsid w:val="00047FDB"/>
    <w:rsid w:val="000562E0"/>
    <w:rsid w:val="00056C3B"/>
    <w:rsid w:val="000618F3"/>
    <w:rsid w:val="00063808"/>
    <w:rsid w:val="0006446E"/>
    <w:rsid w:val="00064A68"/>
    <w:rsid w:val="00081D06"/>
    <w:rsid w:val="00082457"/>
    <w:rsid w:val="000841E7"/>
    <w:rsid w:val="00086665"/>
    <w:rsid w:val="00086CBF"/>
    <w:rsid w:val="00087693"/>
    <w:rsid w:val="00087C76"/>
    <w:rsid w:val="00094924"/>
    <w:rsid w:val="000954FB"/>
    <w:rsid w:val="0009654C"/>
    <w:rsid w:val="000A4499"/>
    <w:rsid w:val="000B23BE"/>
    <w:rsid w:val="000C1DAF"/>
    <w:rsid w:val="000C4D62"/>
    <w:rsid w:val="000C520F"/>
    <w:rsid w:val="000D08D8"/>
    <w:rsid w:val="000D183D"/>
    <w:rsid w:val="000D3391"/>
    <w:rsid w:val="000D38B2"/>
    <w:rsid w:val="000D6747"/>
    <w:rsid w:val="000E5194"/>
    <w:rsid w:val="000E795B"/>
    <w:rsid w:val="000F1BBD"/>
    <w:rsid w:val="000F555A"/>
    <w:rsid w:val="00103E40"/>
    <w:rsid w:val="00107826"/>
    <w:rsid w:val="001208BC"/>
    <w:rsid w:val="00123E3E"/>
    <w:rsid w:val="001241F6"/>
    <w:rsid w:val="00137091"/>
    <w:rsid w:val="001400AC"/>
    <w:rsid w:val="00142CBA"/>
    <w:rsid w:val="00144468"/>
    <w:rsid w:val="00147BE2"/>
    <w:rsid w:val="001803F2"/>
    <w:rsid w:val="0018546F"/>
    <w:rsid w:val="0019047B"/>
    <w:rsid w:val="00191C74"/>
    <w:rsid w:val="001A1379"/>
    <w:rsid w:val="001A26F4"/>
    <w:rsid w:val="001A712C"/>
    <w:rsid w:val="001A7CDE"/>
    <w:rsid w:val="001C05A0"/>
    <w:rsid w:val="001C0E47"/>
    <w:rsid w:val="001D108E"/>
    <w:rsid w:val="001D4A63"/>
    <w:rsid w:val="001F1CB1"/>
    <w:rsid w:val="002111F6"/>
    <w:rsid w:val="0022076A"/>
    <w:rsid w:val="00221060"/>
    <w:rsid w:val="0023171C"/>
    <w:rsid w:val="00232D2F"/>
    <w:rsid w:val="0023468A"/>
    <w:rsid w:val="002354C6"/>
    <w:rsid w:val="0024492E"/>
    <w:rsid w:val="00245CBC"/>
    <w:rsid w:val="002563CE"/>
    <w:rsid w:val="00270BE6"/>
    <w:rsid w:val="002713B5"/>
    <w:rsid w:val="00277DF2"/>
    <w:rsid w:val="00284872"/>
    <w:rsid w:val="00287877"/>
    <w:rsid w:val="002933D1"/>
    <w:rsid w:val="0029518E"/>
    <w:rsid w:val="002A1CF7"/>
    <w:rsid w:val="002A54FA"/>
    <w:rsid w:val="002B4931"/>
    <w:rsid w:val="002B671B"/>
    <w:rsid w:val="002C29F0"/>
    <w:rsid w:val="002C2FBB"/>
    <w:rsid w:val="002C3D89"/>
    <w:rsid w:val="002C595A"/>
    <w:rsid w:val="002D22AF"/>
    <w:rsid w:val="002D2409"/>
    <w:rsid w:val="002E1795"/>
    <w:rsid w:val="002E3070"/>
    <w:rsid w:val="002E5A48"/>
    <w:rsid w:val="002F46D2"/>
    <w:rsid w:val="00300D89"/>
    <w:rsid w:val="0030138D"/>
    <w:rsid w:val="0032610F"/>
    <w:rsid w:val="00335F0D"/>
    <w:rsid w:val="003365A5"/>
    <w:rsid w:val="00337747"/>
    <w:rsid w:val="00341403"/>
    <w:rsid w:val="003429E5"/>
    <w:rsid w:val="003433E9"/>
    <w:rsid w:val="00351C20"/>
    <w:rsid w:val="00357B49"/>
    <w:rsid w:val="003652C5"/>
    <w:rsid w:val="00365B56"/>
    <w:rsid w:val="0037563F"/>
    <w:rsid w:val="0037615C"/>
    <w:rsid w:val="00387E55"/>
    <w:rsid w:val="003960EF"/>
    <w:rsid w:val="003B6D94"/>
    <w:rsid w:val="003E24C9"/>
    <w:rsid w:val="003E53FC"/>
    <w:rsid w:val="003E79BC"/>
    <w:rsid w:val="00407136"/>
    <w:rsid w:val="00407BDC"/>
    <w:rsid w:val="004167AD"/>
    <w:rsid w:val="004303C5"/>
    <w:rsid w:val="0043161F"/>
    <w:rsid w:val="00445E5B"/>
    <w:rsid w:val="00447EB1"/>
    <w:rsid w:val="00451C2A"/>
    <w:rsid w:val="00456CF0"/>
    <w:rsid w:val="00461EDD"/>
    <w:rsid w:val="0046526F"/>
    <w:rsid w:val="00476727"/>
    <w:rsid w:val="00482E26"/>
    <w:rsid w:val="004C40E0"/>
    <w:rsid w:val="004C7C78"/>
    <w:rsid w:val="00500149"/>
    <w:rsid w:val="005023B5"/>
    <w:rsid w:val="0050503D"/>
    <w:rsid w:val="00510256"/>
    <w:rsid w:val="00512057"/>
    <w:rsid w:val="00521A39"/>
    <w:rsid w:val="00521F4D"/>
    <w:rsid w:val="0052661D"/>
    <w:rsid w:val="00526A38"/>
    <w:rsid w:val="00526B89"/>
    <w:rsid w:val="00532109"/>
    <w:rsid w:val="00541299"/>
    <w:rsid w:val="00551EF5"/>
    <w:rsid w:val="005579A9"/>
    <w:rsid w:val="00561ECD"/>
    <w:rsid w:val="00576E1D"/>
    <w:rsid w:val="0057713D"/>
    <w:rsid w:val="00577F07"/>
    <w:rsid w:val="005903D8"/>
    <w:rsid w:val="00590841"/>
    <w:rsid w:val="00590B39"/>
    <w:rsid w:val="00592A90"/>
    <w:rsid w:val="005937F8"/>
    <w:rsid w:val="005965EF"/>
    <w:rsid w:val="005A3A2C"/>
    <w:rsid w:val="005B3F65"/>
    <w:rsid w:val="005B472B"/>
    <w:rsid w:val="005C0CC5"/>
    <w:rsid w:val="005C10E3"/>
    <w:rsid w:val="005F04C7"/>
    <w:rsid w:val="005F218D"/>
    <w:rsid w:val="006022C7"/>
    <w:rsid w:val="00603C12"/>
    <w:rsid w:val="0061111C"/>
    <w:rsid w:val="00620526"/>
    <w:rsid w:val="00630076"/>
    <w:rsid w:val="00635B03"/>
    <w:rsid w:val="006367D8"/>
    <w:rsid w:val="006469B9"/>
    <w:rsid w:val="00647F37"/>
    <w:rsid w:val="00653028"/>
    <w:rsid w:val="006559DF"/>
    <w:rsid w:val="00663079"/>
    <w:rsid w:val="00663646"/>
    <w:rsid w:val="006646E0"/>
    <w:rsid w:val="00670E46"/>
    <w:rsid w:val="00671233"/>
    <w:rsid w:val="00674461"/>
    <w:rsid w:val="00680E26"/>
    <w:rsid w:val="00683BF4"/>
    <w:rsid w:val="006857A3"/>
    <w:rsid w:val="00685B38"/>
    <w:rsid w:val="00691FB9"/>
    <w:rsid w:val="0069580A"/>
    <w:rsid w:val="006B7296"/>
    <w:rsid w:val="006C1894"/>
    <w:rsid w:val="006C1BF9"/>
    <w:rsid w:val="006D2556"/>
    <w:rsid w:val="006E0AE3"/>
    <w:rsid w:val="006E19C0"/>
    <w:rsid w:val="006E1A1C"/>
    <w:rsid w:val="006E24AF"/>
    <w:rsid w:val="006E73B1"/>
    <w:rsid w:val="006F3711"/>
    <w:rsid w:val="00702397"/>
    <w:rsid w:val="00704145"/>
    <w:rsid w:val="00704BEB"/>
    <w:rsid w:val="00722CFD"/>
    <w:rsid w:val="00725BF9"/>
    <w:rsid w:val="00742218"/>
    <w:rsid w:val="0074311B"/>
    <w:rsid w:val="00750A18"/>
    <w:rsid w:val="00783728"/>
    <w:rsid w:val="0078674F"/>
    <w:rsid w:val="00787B40"/>
    <w:rsid w:val="007A3605"/>
    <w:rsid w:val="007B0347"/>
    <w:rsid w:val="007C1058"/>
    <w:rsid w:val="007C3408"/>
    <w:rsid w:val="007C3BD0"/>
    <w:rsid w:val="007D21B1"/>
    <w:rsid w:val="007D489F"/>
    <w:rsid w:val="007D65F4"/>
    <w:rsid w:val="007D77DE"/>
    <w:rsid w:val="007E038E"/>
    <w:rsid w:val="007F31BB"/>
    <w:rsid w:val="007F7228"/>
    <w:rsid w:val="00800634"/>
    <w:rsid w:val="00802938"/>
    <w:rsid w:val="0080398A"/>
    <w:rsid w:val="00825561"/>
    <w:rsid w:val="00825FFE"/>
    <w:rsid w:val="0082764C"/>
    <w:rsid w:val="008412B1"/>
    <w:rsid w:val="0085145F"/>
    <w:rsid w:val="008551AC"/>
    <w:rsid w:val="00855837"/>
    <w:rsid w:val="00864F16"/>
    <w:rsid w:val="008722E2"/>
    <w:rsid w:val="00873FFB"/>
    <w:rsid w:val="00875100"/>
    <w:rsid w:val="0088534A"/>
    <w:rsid w:val="008912FC"/>
    <w:rsid w:val="00893265"/>
    <w:rsid w:val="0089641C"/>
    <w:rsid w:val="008A470C"/>
    <w:rsid w:val="008B17D8"/>
    <w:rsid w:val="008C2EBE"/>
    <w:rsid w:val="008C3EDD"/>
    <w:rsid w:val="008D1491"/>
    <w:rsid w:val="008D152C"/>
    <w:rsid w:val="008D1B5E"/>
    <w:rsid w:val="008D2803"/>
    <w:rsid w:val="008D75A1"/>
    <w:rsid w:val="008F115A"/>
    <w:rsid w:val="008F3C94"/>
    <w:rsid w:val="008F5831"/>
    <w:rsid w:val="00900B25"/>
    <w:rsid w:val="0090294D"/>
    <w:rsid w:val="009050E1"/>
    <w:rsid w:val="00911BEF"/>
    <w:rsid w:val="00912249"/>
    <w:rsid w:val="00914CBD"/>
    <w:rsid w:val="00914CEA"/>
    <w:rsid w:val="00920078"/>
    <w:rsid w:val="0092046A"/>
    <w:rsid w:val="00921F11"/>
    <w:rsid w:val="0092568C"/>
    <w:rsid w:val="009350F2"/>
    <w:rsid w:val="009539DB"/>
    <w:rsid w:val="009546E1"/>
    <w:rsid w:val="00954BF7"/>
    <w:rsid w:val="0096433A"/>
    <w:rsid w:val="00972866"/>
    <w:rsid w:val="009825F4"/>
    <w:rsid w:val="00987FC8"/>
    <w:rsid w:val="009A0C82"/>
    <w:rsid w:val="009B0011"/>
    <w:rsid w:val="009B62E4"/>
    <w:rsid w:val="009C2203"/>
    <w:rsid w:val="009D2B2C"/>
    <w:rsid w:val="009F2310"/>
    <w:rsid w:val="009F6032"/>
    <w:rsid w:val="009F78E1"/>
    <w:rsid w:val="00A0548D"/>
    <w:rsid w:val="00A07C1A"/>
    <w:rsid w:val="00A10BEB"/>
    <w:rsid w:val="00A11650"/>
    <w:rsid w:val="00A1232D"/>
    <w:rsid w:val="00A244D8"/>
    <w:rsid w:val="00A27020"/>
    <w:rsid w:val="00A32380"/>
    <w:rsid w:val="00A37D15"/>
    <w:rsid w:val="00A40E2A"/>
    <w:rsid w:val="00A514F1"/>
    <w:rsid w:val="00A53F61"/>
    <w:rsid w:val="00A554B7"/>
    <w:rsid w:val="00A67BA7"/>
    <w:rsid w:val="00A67DAA"/>
    <w:rsid w:val="00A74C52"/>
    <w:rsid w:val="00A76B12"/>
    <w:rsid w:val="00A82825"/>
    <w:rsid w:val="00A83A61"/>
    <w:rsid w:val="00A91D5C"/>
    <w:rsid w:val="00A952D9"/>
    <w:rsid w:val="00AA1B16"/>
    <w:rsid w:val="00AA2B35"/>
    <w:rsid w:val="00AA3126"/>
    <w:rsid w:val="00AA720B"/>
    <w:rsid w:val="00AB7C0D"/>
    <w:rsid w:val="00AC2DC4"/>
    <w:rsid w:val="00AC59B6"/>
    <w:rsid w:val="00AD669B"/>
    <w:rsid w:val="00AD687A"/>
    <w:rsid w:val="00AE0DF6"/>
    <w:rsid w:val="00AE16E8"/>
    <w:rsid w:val="00AE26CD"/>
    <w:rsid w:val="00AE28F1"/>
    <w:rsid w:val="00AE7115"/>
    <w:rsid w:val="00AE713A"/>
    <w:rsid w:val="00AF2B5B"/>
    <w:rsid w:val="00B0630E"/>
    <w:rsid w:val="00B10C62"/>
    <w:rsid w:val="00B14A26"/>
    <w:rsid w:val="00B21AE7"/>
    <w:rsid w:val="00B253F1"/>
    <w:rsid w:val="00B349EE"/>
    <w:rsid w:val="00B557E0"/>
    <w:rsid w:val="00B62567"/>
    <w:rsid w:val="00B6528A"/>
    <w:rsid w:val="00B65700"/>
    <w:rsid w:val="00B70C59"/>
    <w:rsid w:val="00B76F9D"/>
    <w:rsid w:val="00B8016A"/>
    <w:rsid w:val="00B8419B"/>
    <w:rsid w:val="00B84F49"/>
    <w:rsid w:val="00B92CDE"/>
    <w:rsid w:val="00B94CDB"/>
    <w:rsid w:val="00B9542B"/>
    <w:rsid w:val="00BA5506"/>
    <w:rsid w:val="00BB5D35"/>
    <w:rsid w:val="00BC0469"/>
    <w:rsid w:val="00BD1D3E"/>
    <w:rsid w:val="00BE2C85"/>
    <w:rsid w:val="00BF2A4C"/>
    <w:rsid w:val="00BF3E3B"/>
    <w:rsid w:val="00BF65F1"/>
    <w:rsid w:val="00BF73A1"/>
    <w:rsid w:val="00BF7BE7"/>
    <w:rsid w:val="00BF7EDB"/>
    <w:rsid w:val="00C03087"/>
    <w:rsid w:val="00C06DD4"/>
    <w:rsid w:val="00C15F5B"/>
    <w:rsid w:val="00C26CA7"/>
    <w:rsid w:val="00C33712"/>
    <w:rsid w:val="00C52BE7"/>
    <w:rsid w:val="00C54D2D"/>
    <w:rsid w:val="00C56BCE"/>
    <w:rsid w:val="00C6115D"/>
    <w:rsid w:val="00C70C6D"/>
    <w:rsid w:val="00C711BD"/>
    <w:rsid w:val="00C75998"/>
    <w:rsid w:val="00C91151"/>
    <w:rsid w:val="00CA055A"/>
    <w:rsid w:val="00CB5252"/>
    <w:rsid w:val="00CD71BB"/>
    <w:rsid w:val="00CF09C3"/>
    <w:rsid w:val="00CF22E2"/>
    <w:rsid w:val="00CF3DD3"/>
    <w:rsid w:val="00CF5CE7"/>
    <w:rsid w:val="00D01144"/>
    <w:rsid w:val="00D14FE8"/>
    <w:rsid w:val="00D2784C"/>
    <w:rsid w:val="00D40526"/>
    <w:rsid w:val="00D4260E"/>
    <w:rsid w:val="00D42EB7"/>
    <w:rsid w:val="00D5330F"/>
    <w:rsid w:val="00D640A5"/>
    <w:rsid w:val="00D658DF"/>
    <w:rsid w:val="00D67BCB"/>
    <w:rsid w:val="00D714A8"/>
    <w:rsid w:val="00D75933"/>
    <w:rsid w:val="00DA3E2B"/>
    <w:rsid w:val="00DA6199"/>
    <w:rsid w:val="00DA6701"/>
    <w:rsid w:val="00DB6CAC"/>
    <w:rsid w:val="00DC00B5"/>
    <w:rsid w:val="00DC12C0"/>
    <w:rsid w:val="00DC5985"/>
    <w:rsid w:val="00DD6AB3"/>
    <w:rsid w:val="00DE109F"/>
    <w:rsid w:val="00DE381D"/>
    <w:rsid w:val="00E02710"/>
    <w:rsid w:val="00E169A7"/>
    <w:rsid w:val="00E3181F"/>
    <w:rsid w:val="00E3472F"/>
    <w:rsid w:val="00E36781"/>
    <w:rsid w:val="00E47BC3"/>
    <w:rsid w:val="00E53B89"/>
    <w:rsid w:val="00E5576D"/>
    <w:rsid w:val="00E805D9"/>
    <w:rsid w:val="00E96A45"/>
    <w:rsid w:val="00E97655"/>
    <w:rsid w:val="00EA05C2"/>
    <w:rsid w:val="00EA325A"/>
    <w:rsid w:val="00EB5E3F"/>
    <w:rsid w:val="00ED1F3B"/>
    <w:rsid w:val="00ED71D5"/>
    <w:rsid w:val="00EE2DC2"/>
    <w:rsid w:val="00EF5AD0"/>
    <w:rsid w:val="00EF7CE1"/>
    <w:rsid w:val="00F066A2"/>
    <w:rsid w:val="00F07D70"/>
    <w:rsid w:val="00F1371A"/>
    <w:rsid w:val="00F33E14"/>
    <w:rsid w:val="00F41855"/>
    <w:rsid w:val="00F516C8"/>
    <w:rsid w:val="00F542BF"/>
    <w:rsid w:val="00F61B5E"/>
    <w:rsid w:val="00F727C1"/>
    <w:rsid w:val="00F817A9"/>
    <w:rsid w:val="00F90653"/>
    <w:rsid w:val="00F91373"/>
    <w:rsid w:val="00FA2D2D"/>
    <w:rsid w:val="00FA6BBD"/>
    <w:rsid w:val="00FA6E5F"/>
    <w:rsid w:val="00FD328F"/>
    <w:rsid w:val="00FE09B8"/>
    <w:rsid w:val="00FE09E8"/>
    <w:rsid w:val="00FF182F"/>
    <w:rsid w:val="00FF3E27"/>
    <w:rsid w:val="00FF465C"/>
    <w:rsid w:val="00FF520E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3763"/>
  <w15:chartTrackingRefBased/>
  <w15:docId w15:val="{B07B4F91-16ED-470F-957C-30F4810D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A7"/>
    <w:pPr>
      <w:numPr>
        <w:numId w:val="3"/>
      </w:num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A7"/>
    <w:pPr>
      <w:contextualSpacing/>
    </w:pPr>
  </w:style>
  <w:style w:type="paragraph" w:styleId="NoSpacing">
    <w:name w:val="No Spacing"/>
    <w:uiPriority w:val="1"/>
    <w:qFormat/>
    <w:rsid w:val="00E169A7"/>
    <w:pPr>
      <w:spacing w:after="0" w:line="36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Virensinh Vikramsinh Thakore</dc:creator>
  <cp:keywords/>
  <dc:description/>
  <cp:lastModifiedBy>Virensinh Vikramsinh Thakore</cp:lastModifiedBy>
  <cp:revision>31</cp:revision>
  <dcterms:created xsi:type="dcterms:W3CDTF">2021-11-08T16:24:00Z</dcterms:created>
  <dcterms:modified xsi:type="dcterms:W3CDTF">2021-11-08T17:29:00Z</dcterms:modified>
</cp:coreProperties>
</file>