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8C1D" w14:textId="16794D5A" w:rsidR="00A73E6E" w:rsidRPr="004C7A89" w:rsidRDefault="00307704" w:rsidP="00F23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A89">
        <w:rPr>
          <w:rFonts w:ascii="Times New Roman" w:hAnsi="Times New Roman" w:cs="Times New Roman"/>
          <w:b/>
          <w:bCs/>
          <w:sz w:val="24"/>
          <w:szCs w:val="24"/>
        </w:rPr>
        <w:t xml:space="preserve">Synthetic Li Prize Brine for </w:t>
      </w:r>
      <w:r w:rsidR="00F2366C" w:rsidRPr="004C7A89">
        <w:rPr>
          <w:rFonts w:ascii="Times New Roman" w:hAnsi="Times New Roman" w:cs="Times New Roman"/>
          <w:b/>
          <w:bCs/>
          <w:sz w:val="24"/>
          <w:szCs w:val="24"/>
        </w:rPr>
        <w:t xml:space="preserve">Finalists of </w:t>
      </w:r>
      <w:r w:rsidRPr="004C7A89">
        <w:rPr>
          <w:rFonts w:ascii="Times New Roman" w:hAnsi="Times New Roman" w:cs="Times New Roman"/>
          <w:b/>
          <w:bCs/>
          <w:sz w:val="24"/>
          <w:szCs w:val="24"/>
        </w:rPr>
        <w:t>Geothermal Lithium Extraction Prize</w:t>
      </w:r>
      <w:r w:rsidR="00F2366C" w:rsidRPr="004C7A89">
        <w:rPr>
          <w:rFonts w:ascii="Times New Roman" w:hAnsi="Times New Roman" w:cs="Times New Roman"/>
          <w:b/>
          <w:bCs/>
          <w:sz w:val="24"/>
          <w:szCs w:val="24"/>
        </w:rPr>
        <w:t xml:space="preserve"> Competition</w:t>
      </w:r>
    </w:p>
    <w:p w14:paraId="345E413F" w14:textId="153B5540" w:rsidR="00F2366C" w:rsidRPr="004C7A89" w:rsidRDefault="00F2366C" w:rsidP="00F23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A89">
        <w:rPr>
          <w:rFonts w:ascii="Times New Roman" w:hAnsi="Times New Roman" w:cs="Times New Roman"/>
          <w:sz w:val="24"/>
          <w:szCs w:val="24"/>
        </w:rPr>
        <w:t>Ghanashyam Neupane</w:t>
      </w:r>
      <w:r w:rsidRPr="004C7A89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C7A89">
        <w:rPr>
          <w:rFonts w:ascii="Times New Roman" w:hAnsi="Times New Roman" w:cs="Times New Roman"/>
          <w:sz w:val="24"/>
          <w:szCs w:val="24"/>
        </w:rPr>
        <w:t xml:space="preserve"> and Robert W. Smith</w:t>
      </w:r>
      <w:r w:rsidRPr="004C7A89">
        <w:rPr>
          <w:rFonts w:ascii="Times New Roman" w:hAnsi="Times New Roman" w:cs="Times New Roman"/>
          <w:sz w:val="24"/>
          <w:szCs w:val="24"/>
          <w:vertAlign w:val="superscript"/>
        </w:rPr>
        <w:t>2,3</w:t>
      </w:r>
    </w:p>
    <w:p w14:paraId="74163DEC" w14:textId="1B9FD05F" w:rsidR="00F2366C" w:rsidRPr="004C7A89" w:rsidRDefault="00F2366C" w:rsidP="00F23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A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7A89">
        <w:rPr>
          <w:rFonts w:ascii="Times New Roman" w:hAnsi="Times New Roman" w:cs="Times New Roman"/>
          <w:sz w:val="24"/>
          <w:szCs w:val="24"/>
        </w:rPr>
        <w:t>Idaho National Laboratory, Idaho Falls, ID</w:t>
      </w:r>
    </w:p>
    <w:p w14:paraId="2EDF5C3C" w14:textId="55933C36" w:rsidR="00F2366C" w:rsidRPr="004C7A89" w:rsidRDefault="00F2366C" w:rsidP="00F23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A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7A89">
        <w:rPr>
          <w:rFonts w:ascii="Times New Roman" w:hAnsi="Times New Roman" w:cs="Times New Roman"/>
          <w:sz w:val="24"/>
          <w:szCs w:val="24"/>
        </w:rPr>
        <w:t>Center for Advanced Energy Studies, Idaho Falls, ID</w:t>
      </w:r>
    </w:p>
    <w:p w14:paraId="74DDDD40" w14:textId="7F5B1CCA" w:rsidR="00F2366C" w:rsidRPr="004C7A89" w:rsidRDefault="00F2366C" w:rsidP="00F23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A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7A89">
        <w:rPr>
          <w:rFonts w:ascii="Times New Roman" w:hAnsi="Times New Roman" w:cs="Times New Roman"/>
          <w:sz w:val="24"/>
          <w:szCs w:val="24"/>
        </w:rPr>
        <w:t xml:space="preserve">University of Idaho, </w:t>
      </w:r>
      <w:r w:rsidR="002264E2" w:rsidRPr="004C7A89">
        <w:rPr>
          <w:rFonts w:ascii="Times New Roman" w:hAnsi="Times New Roman" w:cs="Times New Roman"/>
          <w:sz w:val="24"/>
          <w:szCs w:val="24"/>
        </w:rPr>
        <w:t>Moscow</w:t>
      </w:r>
      <w:r w:rsidRPr="004C7A89">
        <w:rPr>
          <w:rFonts w:ascii="Times New Roman" w:hAnsi="Times New Roman" w:cs="Times New Roman"/>
          <w:sz w:val="24"/>
          <w:szCs w:val="24"/>
        </w:rPr>
        <w:t>, ID</w:t>
      </w:r>
    </w:p>
    <w:p w14:paraId="7C3F61FF" w14:textId="098D94E6" w:rsidR="00F2366C" w:rsidRPr="004C7A89" w:rsidRDefault="00882D65" w:rsidP="00F23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A89">
        <w:rPr>
          <w:rFonts w:ascii="Times New Roman" w:hAnsi="Times New Roman" w:cs="Times New Roman"/>
          <w:sz w:val="24"/>
          <w:szCs w:val="24"/>
        </w:rPr>
        <w:t>Email: Ghanashyam.Neupane@inl.gov</w:t>
      </w:r>
    </w:p>
    <w:p w14:paraId="671BBB56" w14:textId="77777777" w:rsidR="00F97D9D" w:rsidRPr="004C7A89" w:rsidRDefault="00F97D9D" w:rsidP="00F23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81C951" w14:textId="77777777" w:rsidR="004C7A89" w:rsidRDefault="004C7A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B8F802" w14:textId="551A06C0" w:rsidR="00307704" w:rsidRPr="004C7A89" w:rsidRDefault="003077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7A89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8E34214" w14:textId="233F2502" w:rsidR="00A3258D" w:rsidRPr="004C7A89" w:rsidRDefault="00A3258D" w:rsidP="00A325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>The Department of Energy (DOE), Geothermal Technologies Office (GTO) launched a multi-phase funding program to advance technologies for extraction of lithium from geothermal brines. This initiative, known as American-Made Geothermal Lithium Extraction Prize (GLEP), ha</w:t>
      </w:r>
      <w:r w:rsidR="005E6ABD" w:rsidRPr="004C7A8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objectives of advancing technology for direct lithium extraction (DLE) from geothermal brines and make it as cost competitive as the conventional lithium extraction methods (e.g., pegmatite mining and </w:t>
      </w:r>
      <w:proofErr w:type="spellStart"/>
      <w:r w:rsidRPr="004C7A89">
        <w:rPr>
          <w:rFonts w:ascii="Times New Roman" w:hAnsi="Times New Roman" w:cs="Times New Roman"/>
          <w:color w:val="000000"/>
          <w:sz w:val="24"/>
          <w:szCs w:val="24"/>
        </w:rPr>
        <w:t>salar</w:t>
      </w:r>
      <w:proofErr w:type="spellEnd"/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brine mining). </w:t>
      </w:r>
    </w:p>
    <w:p w14:paraId="6A3E3AF4" w14:textId="76B241DC" w:rsidR="00AE5487" w:rsidRPr="004C7A89" w:rsidRDefault="00AE5487" w:rsidP="00A325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>Phase</w:t>
      </w:r>
      <w:r w:rsidR="005E6ABD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1 of this initiative, ‘Concept &amp; Idea’, began on March 31,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2021,</w:t>
      </w:r>
      <w:r w:rsidR="005E6ABD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and required submission of an application with description of the technologies for the DLE from geothermal brines. After reviewing the Phase 1 applications, GTO selected and funded 15 semifinalists on November 1, 2021. Phase 2 semifinalists presented their progress in late March 2022 during an Innovation and Pitch Meeting and submitted their research results in April 2022. GTO </w:t>
      </w:r>
      <w:r w:rsidR="00A811CA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selected </w:t>
      </w:r>
      <w:r w:rsidR="005E6ABD" w:rsidRPr="004C7A89">
        <w:rPr>
          <w:rFonts w:ascii="Times New Roman" w:hAnsi="Times New Roman" w:cs="Times New Roman"/>
          <w:color w:val="000000"/>
          <w:sz w:val="24"/>
          <w:szCs w:val="24"/>
        </w:rPr>
        <w:t>five finalists for Phase 3 in July 2022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and provided additional funding to </w:t>
      </w:r>
      <w:r w:rsidR="005E6ABD" w:rsidRPr="004C7A89">
        <w:rPr>
          <w:rFonts w:ascii="Times New Roman" w:hAnsi="Times New Roman" w:cs="Times New Roman"/>
          <w:color w:val="000000"/>
          <w:sz w:val="24"/>
          <w:szCs w:val="24"/>
        </w:rPr>
        <w:t>fabricate and test their DLE technolog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ies</w:t>
      </w:r>
      <w:r w:rsidR="005E6ABD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D3638F" w14:textId="591DCE6B" w:rsidR="00AE5487" w:rsidRPr="004C7A89" w:rsidRDefault="00AE5487" w:rsidP="00AE54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To support these GLEP projects, Idaho National Laboratory (INL) formulated a Synthetic </w:t>
      </w:r>
      <w:r w:rsidRPr="004C7A89">
        <w:rPr>
          <w:rFonts w:ascii="Times New Roman" w:hAnsi="Times New Roman" w:cs="Times New Roman"/>
          <w:sz w:val="24"/>
          <w:szCs w:val="24"/>
        </w:rPr>
        <w:t xml:space="preserve">Li Prize Brine (SLPB)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and provided it to all Phase 3 finalists to test with their technologies.</w:t>
      </w:r>
      <w:r w:rsidRPr="004C7A89">
        <w:rPr>
          <w:rFonts w:ascii="Times New Roman" w:hAnsi="Times New Roman" w:cs="Times New Roman"/>
          <w:sz w:val="24"/>
          <w:szCs w:val="24"/>
        </w:rPr>
        <w:t xml:space="preserve">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The SLPB was used as a baseline lithium extraction feed brine for testing the efficacy of direct lithium extraction (DLE) technology developed by finalists. The finalists tested their DLE technologies against the INL-provided brine. Project products (reports and high-light videos) were used GTO to select the winners of this competition. </w:t>
      </w:r>
    </w:p>
    <w:p w14:paraId="72C8BD68" w14:textId="1122E7F6" w:rsidR="00F2366C" w:rsidRPr="004C7A89" w:rsidRDefault="00AA206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SLPB </w:t>
      </w:r>
      <w:r w:rsidR="00F2366C" w:rsidRPr="004C7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Recipe</w:t>
      </w:r>
    </w:p>
    <w:p w14:paraId="0C75A89F" w14:textId="55209711" w:rsidR="00EA3D71" w:rsidRPr="004C7A89" w:rsidRDefault="00EA3D71" w:rsidP="00EA3D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INL researchers have formulated and tested the shelf-stability of DLE test brines. The synthetic brine recipe was developed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by modifying the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composition of the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Salton Sea geothermal brine (SSGB) reported elsewhere (e.g., </w:t>
      </w:r>
      <w:r w:rsidR="00000699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Harrar et al., 1979; </w:t>
      </w:r>
      <w:proofErr w:type="spellStart"/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>Maimoni</w:t>
      </w:r>
      <w:proofErr w:type="spellEnd"/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et al., 1982; Gallup, 1998).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To formulate the recipe, we conducted geochemical modeling of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SSGB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as a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>starting reference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composition using The Geochemist’s Workbench® with the Pitzer </w:t>
      </w:r>
      <w:r w:rsidRPr="004C7A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Thermo_</w:t>
      </w:r>
      <w:proofErr w:type="gramStart"/>
      <w:r w:rsidRPr="004C7A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ypm.R</w:t>
      </w:r>
      <w:proofErr w:type="gramEnd"/>
      <w:r w:rsidRPr="004C7A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 database to determine the amounts of various salts needed to create a representative and shelf stable SLPB composition. The recipe was formulated in such a way that the SLPB would be free of particulates and/or precipitates at room temperature. Any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>SSGB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constituents with concentrations lower than 40 </w:t>
      </w:r>
      <w:proofErr w:type="spellStart"/>
      <w:r w:rsidRPr="004C7A89">
        <w:rPr>
          <w:rFonts w:ascii="Times New Roman" w:hAnsi="Times New Roman" w:cs="Times New Roman"/>
          <w:color w:val="000000"/>
          <w:sz w:val="24"/>
          <w:szCs w:val="24"/>
        </w:rPr>
        <w:t>mmolal</w:t>
      </w:r>
      <w:proofErr w:type="spellEnd"/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(including silica) were not included in the recipe. Sodium, potassium, and calcium concentrations are adjusted such that the SLPB is undersaturated (log Q/K = -0.151)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with respect to halite (NaCl) at room temperature by maintaining the </w:t>
      </w:r>
      <w:proofErr w:type="gramStart"/>
      <w:r w:rsidRPr="004C7A89">
        <w:rPr>
          <w:rFonts w:ascii="Times New Roman" w:hAnsi="Times New Roman" w:cs="Times New Roman"/>
          <w:color w:val="000000"/>
          <w:sz w:val="24"/>
          <w:szCs w:val="24"/>
        </w:rPr>
        <w:t>K:Ca</w:t>
      </w:r>
      <w:proofErr w:type="gramEnd"/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:Na ratio of the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>SSGB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. After a few iterations of formulation and laboratory testing, the SLPB composition presented in Table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(for 500 g of brine) was determined to be adequately shelf stable for at least 69 days and representative of the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>SSGB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7B41E1" w14:textId="77777777" w:rsidR="00EA3D71" w:rsidRPr="004C7A89" w:rsidRDefault="00EA3D71" w:rsidP="002F4E3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b/>
          <w:bCs/>
          <w:sz w:val="24"/>
          <w:szCs w:val="24"/>
        </w:rPr>
        <w:t>SLPB</w:t>
      </w:r>
      <w:r w:rsidRPr="004C7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Recipe Salts </w:t>
      </w:r>
    </w:p>
    <w:p w14:paraId="219B359F" w14:textId="42EB38CB" w:rsidR="00EA3D71" w:rsidRPr="004C7A89" w:rsidRDefault="00EA3D71" w:rsidP="00EA3D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After discussion with GTO Program Manager and GLEP Industry Advisory Panel (IAP), we determined to deliver a dry mixture of recipe-salts to prepare a total volume of brine ~ 9.442 L in a 10 L carboy. In the first delivery, each finalist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provided with a carboy containing pre-weighed salts. To avoid potential oxidation of redox-sensitive constituents in the salts, air in each carboy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>wa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s purged with high-purity argon. A datasheet with amount of</w:t>
      </w:r>
      <w:r w:rsidR="00E05E11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each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salt </w:t>
      </w:r>
      <w:r w:rsidR="002F4E39" w:rsidRPr="004C7A89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provided along with the carboy.</w:t>
      </w:r>
    </w:p>
    <w:p w14:paraId="40EB7E10" w14:textId="6A488CE9" w:rsidR="002F4E39" w:rsidRPr="004C7A89" w:rsidRDefault="002F4E39" w:rsidP="002F4E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>Table 1. Recipe of the Synthetic Li Prize Brine</w:t>
      </w:r>
    </w:p>
    <w:p w14:paraId="5F630689" w14:textId="7BEB9ED5" w:rsidR="00EA3D71" w:rsidRPr="004C7A89" w:rsidRDefault="002F4E39" w:rsidP="002F4E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A8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EACAC29" wp14:editId="6A5A1F6A">
            <wp:extent cx="2361063" cy="2776004"/>
            <wp:effectExtent l="0" t="0" r="1270" b="5715"/>
            <wp:docPr id="1773959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74" cy="2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6F9FA" w14:textId="41572E21" w:rsidR="00AE2605" w:rsidRPr="004C7A89" w:rsidRDefault="00AE26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Procedure to prepare </w:t>
      </w:r>
      <w:proofErr w:type="gramStart"/>
      <w:r w:rsidR="00AA2063" w:rsidRPr="004C7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SLPB</w:t>
      </w:r>
      <w:proofErr w:type="gramEnd"/>
    </w:p>
    <w:p w14:paraId="085C1277" w14:textId="33ECE0A6" w:rsidR="00AE2605" w:rsidRPr="004C7A89" w:rsidRDefault="00AE26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>After receiving the recipe-salts, GLEP finalists prepare</w:t>
      </w:r>
      <w:r w:rsidR="00891013" w:rsidRPr="004C7A8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AA2063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SLPB </w:t>
      </w:r>
      <w:r w:rsidR="008F6021" w:rsidRPr="004C7A89">
        <w:rPr>
          <w:rFonts w:ascii="Times New Roman" w:hAnsi="Times New Roman" w:cs="Times New Roman"/>
          <w:color w:val="000000"/>
          <w:sz w:val="24"/>
          <w:szCs w:val="24"/>
        </w:rPr>
        <w:t>according to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the procedure below.</w:t>
      </w:r>
    </w:p>
    <w:p w14:paraId="072F13D7" w14:textId="77777777" w:rsidR="00D144C6" w:rsidRPr="004C7A89" w:rsidRDefault="00FD50CD" w:rsidP="00AE26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>Use 8.0 L of nano-pure</w:t>
      </w:r>
      <w:r w:rsidR="00D144C6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(&gt;18.2 M</w:t>
      </w:r>
      <w:r w:rsidR="00D144C6" w:rsidRPr="004C7A89">
        <w:rPr>
          <w:rFonts w:ascii="Times New Roman" w:hAnsi="Times New Roman" w:cs="Times New Roman"/>
          <w:color w:val="000000"/>
          <w:sz w:val="24"/>
          <w:szCs w:val="24"/>
        </w:rPr>
        <w:sym w:font="Symbol" w:char="F057"/>
      </w:r>
      <w:r w:rsidR="00D144C6" w:rsidRPr="004C7A89">
        <w:rPr>
          <w:rFonts w:ascii="Times New Roman" w:hAnsi="Times New Roman" w:cs="Times New Roman"/>
          <w:color w:val="000000"/>
          <w:sz w:val="24"/>
          <w:szCs w:val="24"/>
        </w:rPr>
        <w:t>.cm)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water and sparge </w:t>
      </w:r>
      <w:r w:rsidR="00D144C6" w:rsidRPr="004C7A89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with argon or nitrogen for at least 30 minutes. </w:t>
      </w:r>
    </w:p>
    <w:p w14:paraId="4BD5B4E9" w14:textId="426065D2" w:rsidR="00FD50CD" w:rsidRPr="004C7A89" w:rsidRDefault="00FD50CD" w:rsidP="00AE26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Add 8.0 L of </w:t>
      </w:r>
      <w:proofErr w:type="spellStart"/>
      <w:r w:rsidRPr="004C7A89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-sparged water to the carboy. </w:t>
      </w:r>
    </w:p>
    <w:p w14:paraId="1D341FB0" w14:textId="3275FF05" w:rsidR="00FD50CD" w:rsidRPr="004C7A89" w:rsidRDefault="00FD50CD" w:rsidP="00AE26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>Stir the brine to completely dissolve the salts.</w:t>
      </w:r>
    </w:p>
    <w:p w14:paraId="73C52E6B" w14:textId="072BF187" w:rsidR="0050204D" w:rsidRDefault="0050204D" w:rsidP="00AE26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>Adjust the pH of the brine to ~5.5 with sodium hydroxide and hydrochloric acid solutions</w:t>
      </w:r>
      <w:r w:rsidR="008F6021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(as needed)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1084307" w14:textId="77777777" w:rsidR="006C761B" w:rsidRDefault="006C761B" w:rsidP="006C76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4FB6DA8" w14:textId="77777777" w:rsidR="006C761B" w:rsidRPr="006C761B" w:rsidRDefault="006C761B" w:rsidP="006C76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D969B45" w14:textId="1D66936D" w:rsidR="00FD50CD" w:rsidRPr="004C7A89" w:rsidRDefault="00FD50CD" w:rsidP="00FD50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Precautions</w:t>
      </w:r>
      <w:r w:rsidR="00D144C6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and Lessons Learned</w:t>
      </w:r>
    </w:p>
    <w:p w14:paraId="677BFA25" w14:textId="0E2C165A" w:rsidR="00AE2605" w:rsidRPr="004C7A89" w:rsidRDefault="00D144C6" w:rsidP="00D144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It is important to avoid </w:t>
      </w:r>
      <w:r w:rsidR="008F6021" w:rsidRPr="004C7A89">
        <w:rPr>
          <w:rFonts w:ascii="Times New Roman" w:hAnsi="Times New Roman" w:cs="Times New Roman"/>
          <w:color w:val="000000"/>
          <w:sz w:val="24"/>
          <w:szCs w:val="24"/>
        </w:rPr>
        <w:t>air-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exposing the brine for a long period. Exposure/contamination of brine with air is likely to induce oxidation of ferrous ions to ferric ions </w:t>
      </w:r>
      <w:r w:rsidR="008F6021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2264E2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may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8F6021" w:rsidRPr="004C7A8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F6021" w:rsidRPr="004C7A8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precipitation of</w:t>
      </w:r>
      <w:r w:rsidR="007A53F2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hydrous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iron oxides. </w:t>
      </w:r>
    </w:p>
    <w:p w14:paraId="2815AA12" w14:textId="71388A19" w:rsidR="00AE2605" w:rsidRPr="004C7A89" w:rsidRDefault="00D144C6" w:rsidP="00EA0E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It is very likely that some of the </w:t>
      </w:r>
      <w:r w:rsidR="007A53F2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ferrous iron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will oxidize</w:t>
      </w:r>
      <w:r w:rsidR="008F6021" w:rsidRPr="004C7A89">
        <w:rPr>
          <w:rFonts w:ascii="Times New Roman" w:hAnsi="Times New Roman" w:cs="Times New Roman"/>
          <w:color w:val="000000"/>
          <w:sz w:val="24"/>
          <w:szCs w:val="24"/>
        </w:rPr>
        <w:t>, and the color of the brine will turn yellowish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Importantly, if the air-exposure is limited, only a small amount of </w:t>
      </w:r>
      <w:r w:rsidR="007A53F2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ferrous iron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will oxidize.</w:t>
      </w:r>
      <w:r w:rsidR="008F6021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he brine may require filtration prior to use in DLE (if </w:t>
      </w:r>
      <w:r w:rsidR="008064B9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small amount of</w:t>
      </w:r>
      <w:r w:rsidR="008064B9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colloidal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ferric oxide</w:t>
      </w:r>
      <w:r w:rsidR="008064B9" w:rsidRPr="004C7A8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interfere</w:t>
      </w:r>
      <w:r w:rsidR="008064B9" w:rsidRPr="004C7A8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with the technology).</w:t>
      </w:r>
      <w:r w:rsidR="008F6021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4B9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It is important to note here that </w:t>
      </w:r>
      <w:r w:rsidR="007A53F2" w:rsidRPr="004C7A89">
        <w:rPr>
          <w:rFonts w:ascii="Times New Roman" w:hAnsi="Times New Roman" w:cs="Times New Roman"/>
          <w:color w:val="000000"/>
          <w:sz w:val="24"/>
          <w:szCs w:val="24"/>
        </w:rPr>
        <w:t>actual</w:t>
      </w:r>
      <w:r w:rsidR="008064B9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Salton Sea geothermal brines are more prone to create precipitation/scaling issues than the provided SLPB.</w:t>
      </w:r>
    </w:p>
    <w:p w14:paraId="724536EA" w14:textId="02018DAF" w:rsidR="008064B9" w:rsidRPr="004C7A89" w:rsidRDefault="008064B9" w:rsidP="00EA0E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While adding the </w:t>
      </w:r>
      <w:proofErr w:type="spellStart"/>
      <w:r w:rsidRPr="004C7A89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4C7A89">
        <w:rPr>
          <w:rFonts w:ascii="Times New Roman" w:hAnsi="Times New Roman" w:cs="Times New Roman"/>
          <w:color w:val="000000"/>
          <w:sz w:val="24"/>
          <w:szCs w:val="24"/>
        </w:rPr>
        <w:t>-sparged water into the carboy, it is recommended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maintain a continuous flow/purge 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argon into the carboy. Unless the water is added in a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-filled glove box (which may not be necessary but will help avoid air exposure), a 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>tube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of low-flow </w:t>
      </w:r>
      <w:proofErr w:type="spellStart"/>
      <w:r w:rsidRPr="004C7A89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can be inserted into the carboy while the </w:t>
      </w:r>
      <w:proofErr w:type="spellStart"/>
      <w:r w:rsidRPr="004C7A89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-sparged water is </w:t>
      </w:r>
      <w:r w:rsidR="0050204D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being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added. </w:t>
      </w:r>
      <w:r w:rsidR="0050204D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Also, keeping the </w:t>
      </w:r>
      <w:proofErr w:type="spellStart"/>
      <w:r w:rsidR="0050204D" w:rsidRPr="004C7A89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="0050204D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-flow into the brine (after addition of water) helps agitate the brine for faster dissolution of salts. </w:t>
      </w:r>
      <w:r w:rsidR="007A53F2" w:rsidRPr="004C7A89">
        <w:rPr>
          <w:rFonts w:ascii="Times New Roman" w:hAnsi="Times New Roman" w:cs="Times New Roman"/>
          <w:color w:val="000000"/>
          <w:sz w:val="24"/>
          <w:szCs w:val="24"/>
        </w:rPr>
        <w:t>Alternatively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, the competing team can develop </w:t>
      </w:r>
      <w:r w:rsidR="0050204D" w:rsidRPr="004C7A89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appropriate practice </w:t>
      </w:r>
      <w:r w:rsidR="0050204D" w:rsidRPr="004C7A89">
        <w:rPr>
          <w:rFonts w:ascii="Times New Roman" w:hAnsi="Times New Roman" w:cs="Times New Roman"/>
          <w:color w:val="000000"/>
          <w:sz w:val="24"/>
          <w:szCs w:val="24"/>
        </w:rPr>
        <w:t>to minimize air exposure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while preparing the brine</w:t>
      </w:r>
      <w:r w:rsidR="0050204D" w:rsidRPr="004C7A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7753AD" w14:textId="4E1EF2D9" w:rsidR="0050204D" w:rsidRPr="004C7A89" w:rsidRDefault="0050204D" w:rsidP="00EA0E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The dissolution of salts 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in the carboy may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take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some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time. Maintaining a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agitative condition in the carboy will facilitate this process. </w:t>
      </w:r>
    </w:p>
    <w:p w14:paraId="6E867650" w14:textId="29A91E4C" w:rsidR="0050204D" w:rsidRPr="004C7A89" w:rsidRDefault="0050204D" w:rsidP="00EA0E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After the </w:t>
      </w:r>
      <w:r w:rsidR="00451322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SLPB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is prepared, we recommend storing 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in a refrigerator at 4⁰C. We conducted shelf stability test of the brine both at room temperature (22⁰C) and at 4⁰C.  With exception of slight difference in visual appearance (small difference in amount of colloidal ferric oxides), we did not observe significant compositional change in brines stored 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2C58D6" w:rsidRPr="004C7A89">
        <w:rPr>
          <w:rFonts w:ascii="Times New Roman" w:hAnsi="Times New Roman" w:cs="Times New Roman"/>
          <w:color w:val="000000"/>
          <w:sz w:val="24"/>
          <w:szCs w:val="24"/>
        </w:rPr>
        <w:t>69 days (the duration of our evaluation)</w:t>
      </w:r>
      <w:r w:rsidR="00B76F3E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>at room temperature or in refrigerator.</w:t>
      </w:r>
    </w:p>
    <w:p w14:paraId="775ADA84" w14:textId="3F743E8D" w:rsidR="0050204D" w:rsidRPr="004C7A89" w:rsidRDefault="00B76F3E" w:rsidP="00EA0E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If any finalists need small amount of brine </w:t>
      </w:r>
      <w:r w:rsidR="00891EF4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to work with 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at a time, we recommend shaking the </w:t>
      </w:r>
      <w:r w:rsidR="00891EF4" w:rsidRPr="004C7A89">
        <w:rPr>
          <w:rFonts w:ascii="Times New Roman" w:hAnsi="Times New Roman" w:cs="Times New Roman"/>
          <w:color w:val="000000"/>
          <w:sz w:val="24"/>
          <w:szCs w:val="24"/>
        </w:rPr>
        <w:t>carboy properly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prior to transferring the</w:t>
      </w:r>
      <w:r w:rsidR="00F97D9D"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brine</w:t>
      </w:r>
      <w:r w:rsidRPr="004C7A89">
        <w:rPr>
          <w:rFonts w:ascii="Times New Roman" w:hAnsi="Times New Roman" w:cs="Times New Roman"/>
          <w:color w:val="000000"/>
          <w:sz w:val="24"/>
          <w:szCs w:val="24"/>
        </w:rPr>
        <w:t xml:space="preserve"> to a smaller container. Again, precautions need to be taken to avoid exposure to air. </w:t>
      </w:r>
    </w:p>
    <w:p w14:paraId="7249FF43" w14:textId="478ADC0C" w:rsidR="00F2366C" w:rsidRPr="004C7A89" w:rsidRDefault="002F4E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7A89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FF674A9" w14:textId="14D2F59A" w:rsidR="002F4E39" w:rsidRPr="004C7A89" w:rsidRDefault="002F4E39" w:rsidP="0019544C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7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Gallup, D.L., 1998. Geochemistry of geothermal fluids and well scales, and potential for mineral recovery. </w:t>
      </w:r>
      <w:r w:rsidRPr="004C7A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Ore geology reviews</w:t>
      </w:r>
      <w:r w:rsidRPr="004C7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C7A8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4C7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pp.225-236.</w:t>
      </w:r>
    </w:p>
    <w:p w14:paraId="4A284D9D" w14:textId="3EE7DFC8" w:rsidR="00000699" w:rsidRPr="004C7A89" w:rsidRDefault="00000699" w:rsidP="0019544C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7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Harrar, J.E., Otto Jr, C.H., Deutscher, S.B., Ryon, R.W. and Tardiff, G.E., 1979. Studies of brine chemistry, precipitation of solids, and scale formation at the Salton Sea geothermal field (No. UCRL-52640). Lawrence Livermore National Lab.</w:t>
      </w:r>
      <w:r w:rsidR="00A936E2" w:rsidRPr="004C7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C7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(LLNL), Livermore, CA.</w:t>
      </w:r>
    </w:p>
    <w:p w14:paraId="19E1A7F1" w14:textId="6C298449" w:rsidR="002F4E39" w:rsidRPr="004C7A89" w:rsidRDefault="002F4E39" w:rsidP="0019544C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C7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Maimoni</w:t>
      </w:r>
      <w:proofErr w:type="spellEnd"/>
      <w:r w:rsidRPr="004C7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1982. Minerals recovery from Salton Sea geothermal brines: A literature review and proposed cementation process. </w:t>
      </w:r>
      <w:proofErr w:type="spellStart"/>
      <w:r w:rsidRPr="004C7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Geothermics</w:t>
      </w:r>
      <w:proofErr w:type="spellEnd"/>
      <w:r w:rsidRPr="004C7A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11(4), pp.239-258.</w:t>
      </w:r>
    </w:p>
    <w:p w14:paraId="3A98DE22" w14:textId="77777777" w:rsidR="002F4E39" w:rsidRPr="004C7A89" w:rsidRDefault="002F4E39">
      <w:pPr>
        <w:rPr>
          <w:rFonts w:ascii="Times New Roman" w:hAnsi="Times New Roman" w:cs="Times New Roman"/>
          <w:sz w:val="24"/>
          <w:szCs w:val="24"/>
        </w:rPr>
      </w:pPr>
    </w:p>
    <w:p w14:paraId="0298B81D" w14:textId="2C7EF4D1" w:rsidR="00307704" w:rsidRPr="004C7A89" w:rsidRDefault="00307704">
      <w:pPr>
        <w:rPr>
          <w:rFonts w:ascii="Times New Roman" w:hAnsi="Times New Roman" w:cs="Times New Roman"/>
          <w:sz w:val="24"/>
          <w:szCs w:val="24"/>
        </w:rPr>
      </w:pPr>
    </w:p>
    <w:sectPr w:rsidR="00307704" w:rsidRPr="004C7A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6526" w14:textId="77777777" w:rsidR="006C761B" w:rsidRDefault="006C761B" w:rsidP="006C761B">
      <w:pPr>
        <w:spacing w:after="0" w:line="240" w:lineRule="auto"/>
      </w:pPr>
      <w:r>
        <w:separator/>
      </w:r>
    </w:p>
  </w:endnote>
  <w:endnote w:type="continuationSeparator" w:id="0">
    <w:p w14:paraId="290EFC22" w14:textId="77777777" w:rsidR="006C761B" w:rsidRDefault="006C761B" w:rsidP="006C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676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5180A" w14:textId="703857C8" w:rsidR="006C761B" w:rsidRDefault="006C76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ACABA" w14:textId="77777777" w:rsidR="006C761B" w:rsidRDefault="006C7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88BE" w14:textId="77777777" w:rsidR="006C761B" w:rsidRDefault="006C761B" w:rsidP="006C761B">
      <w:pPr>
        <w:spacing w:after="0" w:line="240" w:lineRule="auto"/>
      </w:pPr>
      <w:r>
        <w:separator/>
      </w:r>
    </w:p>
  </w:footnote>
  <w:footnote w:type="continuationSeparator" w:id="0">
    <w:p w14:paraId="5A3EAB1D" w14:textId="77777777" w:rsidR="006C761B" w:rsidRDefault="006C761B" w:rsidP="006C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6BA3"/>
    <w:multiLevelType w:val="hybridMultilevel"/>
    <w:tmpl w:val="0D748C26"/>
    <w:lvl w:ilvl="0" w:tplc="EB40A6D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3A115343"/>
    <w:multiLevelType w:val="hybridMultilevel"/>
    <w:tmpl w:val="B7BE8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A7DFD"/>
    <w:multiLevelType w:val="hybridMultilevel"/>
    <w:tmpl w:val="D950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C7438"/>
    <w:multiLevelType w:val="hybridMultilevel"/>
    <w:tmpl w:val="FC84F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5049">
    <w:abstractNumId w:val="1"/>
  </w:num>
  <w:num w:numId="2" w16cid:durableId="1313174331">
    <w:abstractNumId w:val="0"/>
  </w:num>
  <w:num w:numId="3" w16cid:durableId="1910849462">
    <w:abstractNumId w:val="2"/>
  </w:num>
  <w:num w:numId="4" w16cid:durableId="1027410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04"/>
    <w:rsid w:val="00000699"/>
    <w:rsid w:val="000026FD"/>
    <w:rsid w:val="00030664"/>
    <w:rsid w:val="000956EE"/>
    <w:rsid w:val="000A3EE0"/>
    <w:rsid w:val="0014399F"/>
    <w:rsid w:val="00165FCA"/>
    <w:rsid w:val="00185C51"/>
    <w:rsid w:val="0019544C"/>
    <w:rsid w:val="001D7311"/>
    <w:rsid w:val="001F6CC1"/>
    <w:rsid w:val="002264E2"/>
    <w:rsid w:val="00243635"/>
    <w:rsid w:val="002C58D6"/>
    <w:rsid w:val="002F4E39"/>
    <w:rsid w:val="00307704"/>
    <w:rsid w:val="00451322"/>
    <w:rsid w:val="004C7A89"/>
    <w:rsid w:val="004F58A5"/>
    <w:rsid w:val="0050204D"/>
    <w:rsid w:val="0052679C"/>
    <w:rsid w:val="005E6ABD"/>
    <w:rsid w:val="006C761B"/>
    <w:rsid w:val="007A2131"/>
    <w:rsid w:val="007A53F2"/>
    <w:rsid w:val="007E1068"/>
    <w:rsid w:val="008064B9"/>
    <w:rsid w:val="00882D65"/>
    <w:rsid w:val="00891013"/>
    <w:rsid w:val="008913F1"/>
    <w:rsid w:val="00891EF4"/>
    <w:rsid w:val="008F6021"/>
    <w:rsid w:val="00956EC1"/>
    <w:rsid w:val="00A3258D"/>
    <w:rsid w:val="00A73E6E"/>
    <w:rsid w:val="00A811CA"/>
    <w:rsid w:val="00A936E2"/>
    <w:rsid w:val="00AA2063"/>
    <w:rsid w:val="00AE2605"/>
    <w:rsid w:val="00AE5487"/>
    <w:rsid w:val="00AE673A"/>
    <w:rsid w:val="00B766FB"/>
    <w:rsid w:val="00B76F3E"/>
    <w:rsid w:val="00B90872"/>
    <w:rsid w:val="00C233B5"/>
    <w:rsid w:val="00C616F2"/>
    <w:rsid w:val="00D144C6"/>
    <w:rsid w:val="00D63B35"/>
    <w:rsid w:val="00D72447"/>
    <w:rsid w:val="00D817BE"/>
    <w:rsid w:val="00DD124E"/>
    <w:rsid w:val="00DD5440"/>
    <w:rsid w:val="00E05E11"/>
    <w:rsid w:val="00E4464B"/>
    <w:rsid w:val="00EA3D71"/>
    <w:rsid w:val="00F2366C"/>
    <w:rsid w:val="00F26C2D"/>
    <w:rsid w:val="00F42260"/>
    <w:rsid w:val="00F42618"/>
    <w:rsid w:val="00F97D9D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EB24"/>
  <w15:chartTrackingRefBased/>
  <w15:docId w15:val="{7A84A07E-4F84-4CDC-BE4B-5731F7CF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6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4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6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4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4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D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1B"/>
  </w:style>
  <w:style w:type="paragraph" w:styleId="Footer">
    <w:name w:val="footer"/>
    <w:basedOn w:val="Normal"/>
    <w:link w:val="FooterChar"/>
    <w:uiPriority w:val="99"/>
    <w:unhideWhenUsed/>
    <w:rsid w:val="006C7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Ghanashyam Neupane</dc:creator>
  <cp:keywords/>
  <dc:description/>
  <cp:lastModifiedBy>Ghanashyam Neupane</cp:lastModifiedBy>
  <cp:revision>25</cp:revision>
  <dcterms:created xsi:type="dcterms:W3CDTF">2022-11-29T18:05:00Z</dcterms:created>
  <dcterms:modified xsi:type="dcterms:W3CDTF">2023-10-31T23:49:00Z</dcterms:modified>
</cp:coreProperties>
</file>