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D7933D" w14:textId="77777777" w:rsidR="00DD0C27" w:rsidRDefault="00DD0C27" w:rsidP="00291E3D"/>
    <w:tbl>
      <w:tblPr>
        <w:tblW w:w="0" w:type="auto"/>
        <w:tblLook w:val="04A0" w:firstRow="1" w:lastRow="0" w:firstColumn="1" w:lastColumn="0" w:noHBand="0" w:noVBand="1"/>
      </w:tblPr>
      <w:tblGrid>
        <w:gridCol w:w="1908"/>
        <w:gridCol w:w="6948"/>
      </w:tblGrid>
      <w:tr w:rsidR="00286FA0" w14:paraId="0D31A271" w14:textId="77777777" w:rsidTr="009524EF">
        <w:tc>
          <w:tcPr>
            <w:tcW w:w="1908" w:type="dxa"/>
            <w:tcBorders>
              <w:top w:val="single" w:sz="4" w:space="0" w:color="auto"/>
            </w:tcBorders>
            <w:tcMar>
              <w:top w:w="0" w:type="dxa"/>
              <w:left w:w="115" w:type="dxa"/>
              <w:bottom w:w="0" w:type="dxa"/>
              <w:right w:w="216" w:type="dxa"/>
            </w:tcMar>
            <w:vAlign w:val="center"/>
            <w:hideMark/>
          </w:tcPr>
          <w:p w14:paraId="47386F7D" w14:textId="77777777" w:rsidR="00286FA0" w:rsidRPr="0011646D" w:rsidRDefault="00286FA0" w:rsidP="009524EF">
            <w:pPr>
              <w:tabs>
                <w:tab w:val="right" w:pos="1800"/>
                <w:tab w:val="left" w:pos="2160"/>
              </w:tabs>
              <w:spacing w:before="120" w:after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646D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6948" w:type="dxa"/>
            <w:tcBorders>
              <w:top w:val="single" w:sz="4" w:space="0" w:color="auto"/>
            </w:tcBorders>
            <w:vAlign w:val="center"/>
            <w:hideMark/>
          </w:tcPr>
          <w:p w14:paraId="5B19F0A4" w14:textId="206AFE41" w:rsidR="00286FA0" w:rsidRPr="0011646D" w:rsidRDefault="00B276FA" w:rsidP="00D6581C">
            <w:pPr>
              <w:spacing w:before="120"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</w:t>
            </w:r>
            <w:r w:rsidR="009524EF">
              <w:rPr>
                <w:sz w:val="22"/>
                <w:szCs w:val="22"/>
              </w:rPr>
              <w:t xml:space="preserve">day, </w:t>
            </w:r>
            <w:r>
              <w:rPr>
                <w:sz w:val="22"/>
                <w:szCs w:val="22"/>
              </w:rPr>
              <w:t>September 2</w:t>
            </w:r>
            <w:r w:rsidR="00D6581C">
              <w:rPr>
                <w:sz w:val="22"/>
                <w:szCs w:val="22"/>
              </w:rPr>
              <w:t>7</w:t>
            </w:r>
            <w:r w:rsidR="009524EF">
              <w:rPr>
                <w:sz w:val="22"/>
                <w:szCs w:val="22"/>
              </w:rPr>
              <w:t>, 201</w:t>
            </w:r>
            <w:r w:rsidR="00D6581C">
              <w:rPr>
                <w:sz w:val="22"/>
                <w:szCs w:val="22"/>
              </w:rPr>
              <w:t>3</w:t>
            </w:r>
          </w:p>
        </w:tc>
      </w:tr>
      <w:tr w:rsidR="00286FA0" w14:paraId="7B4AE446" w14:textId="77777777" w:rsidTr="009524EF">
        <w:tc>
          <w:tcPr>
            <w:tcW w:w="1908" w:type="dxa"/>
            <w:tcMar>
              <w:top w:w="0" w:type="dxa"/>
              <w:left w:w="115" w:type="dxa"/>
              <w:bottom w:w="0" w:type="dxa"/>
              <w:right w:w="216" w:type="dxa"/>
            </w:tcMar>
            <w:vAlign w:val="center"/>
            <w:hideMark/>
          </w:tcPr>
          <w:p w14:paraId="44317AE1" w14:textId="77777777" w:rsidR="00286FA0" w:rsidRPr="0011646D" w:rsidRDefault="00286FA0" w:rsidP="009524EF">
            <w:pPr>
              <w:tabs>
                <w:tab w:val="right" w:pos="1800"/>
                <w:tab w:val="left" w:pos="2160"/>
              </w:tabs>
              <w:spacing w:after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1646D">
              <w:rPr>
                <w:rFonts w:ascii="Arial" w:hAnsi="Arial" w:cs="Arial"/>
                <w:b/>
                <w:sz w:val="20"/>
                <w:szCs w:val="20"/>
              </w:rPr>
              <w:t>To:</w:t>
            </w:r>
          </w:p>
        </w:tc>
        <w:tc>
          <w:tcPr>
            <w:tcW w:w="6948" w:type="dxa"/>
            <w:vAlign w:val="center"/>
          </w:tcPr>
          <w:p w14:paraId="3943DB90" w14:textId="78DDC0E2" w:rsidR="00286FA0" w:rsidRPr="003F40C5" w:rsidRDefault="00EB616E" w:rsidP="009524EF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GDR Users</w:t>
            </w:r>
          </w:p>
        </w:tc>
      </w:tr>
      <w:tr w:rsidR="00286FA0" w14:paraId="69E1E8F2" w14:textId="77777777" w:rsidTr="009524EF">
        <w:tc>
          <w:tcPr>
            <w:tcW w:w="1908" w:type="dxa"/>
            <w:tcMar>
              <w:top w:w="0" w:type="dxa"/>
              <w:left w:w="115" w:type="dxa"/>
              <w:bottom w:w="0" w:type="dxa"/>
              <w:right w:w="216" w:type="dxa"/>
            </w:tcMar>
            <w:vAlign w:val="center"/>
            <w:hideMark/>
          </w:tcPr>
          <w:p w14:paraId="18BD48D1" w14:textId="77777777" w:rsidR="00286FA0" w:rsidRPr="0011646D" w:rsidRDefault="00286FA0" w:rsidP="009524EF">
            <w:pPr>
              <w:tabs>
                <w:tab w:val="right" w:pos="1800"/>
                <w:tab w:val="left" w:pos="2160"/>
              </w:tabs>
              <w:spacing w:after="24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From</w:t>
            </w:r>
            <w:r w:rsidRPr="001164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8" w:type="dxa"/>
            <w:vAlign w:val="center"/>
          </w:tcPr>
          <w:p w14:paraId="309F49E0" w14:textId="5EB20390" w:rsidR="00286FA0" w:rsidRPr="0011646D" w:rsidRDefault="002E7FFC" w:rsidP="00EB616E">
            <w:pPr>
              <w:spacing w:after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Kate</w:t>
            </w:r>
            <w:r w:rsidR="0027528C">
              <w:rPr>
                <w:sz w:val="22"/>
                <w:szCs w:val="22"/>
              </w:rPr>
              <w:t xml:space="preserve"> Young</w:t>
            </w:r>
          </w:p>
        </w:tc>
      </w:tr>
      <w:tr w:rsidR="00286FA0" w14:paraId="3CAC8102" w14:textId="77777777" w:rsidTr="009524EF">
        <w:trPr>
          <w:trHeight w:val="135"/>
        </w:trPr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216" w:type="dxa"/>
            </w:tcMar>
            <w:hideMark/>
          </w:tcPr>
          <w:p w14:paraId="1AB26C33" w14:textId="77777777" w:rsidR="00286FA0" w:rsidRPr="0011646D" w:rsidRDefault="00286FA0" w:rsidP="009524EF">
            <w:pPr>
              <w:tabs>
                <w:tab w:val="right" w:pos="1800"/>
                <w:tab w:val="left" w:pos="2160"/>
              </w:tabs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r w:rsidRPr="001164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DA3AA" w14:textId="27C20D5A" w:rsidR="00286FA0" w:rsidRPr="0011646D" w:rsidRDefault="00EB616E" w:rsidP="00EB616E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Overview</w:t>
            </w:r>
            <w:r w:rsidR="00545194">
              <w:rPr>
                <w:sz w:val="22"/>
                <w:szCs w:val="22"/>
              </w:rPr>
              <w:t xml:space="preserve"> of </w:t>
            </w:r>
            <w:r>
              <w:rPr>
                <w:sz w:val="22"/>
                <w:szCs w:val="22"/>
              </w:rPr>
              <w:t xml:space="preserve">Geothermal Exploration Case Study database on </w:t>
            </w:r>
            <w:proofErr w:type="spellStart"/>
            <w:r>
              <w:rPr>
                <w:sz w:val="22"/>
                <w:szCs w:val="22"/>
              </w:rPr>
              <w:t>OpenEI</w:t>
            </w:r>
            <w:proofErr w:type="spellEnd"/>
          </w:p>
        </w:tc>
      </w:tr>
    </w:tbl>
    <w:p w14:paraId="791A752B" w14:textId="77777777" w:rsidR="003D4696" w:rsidRDefault="003D4696" w:rsidP="00D6581C"/>
    <w:p w14:paraId="73992754" w14:textId="77777777" w:rsidR="00316F53" w:rsidRDefault="00316F53" w:rsidP="00316F53">
      <w:pPr>
        <w:pStyle w:val="Heading2"/>
      </w:pPr>
      <w:r>
        <w:t>Background</w:t>
      </w:r>
    </w:p>
    <w:p w14:paraId="2CEDCB2A" w14:textId="40D83EB1" w:rsidR="00316F53" w:rsidRDefault="00CB4973" w:rsidP="00316F53">
      <w:r>
        <w:t xml:space="preserve">The goal of this project was to create a template (and associated form) on </w:t>
      </w:r>
      <w:proofErr w:type="spellStart"/>
      <w:r>
        <w:t>OpenEI</w:t>
      </w:r>
      <w:proofErr w:type="spellEnd"/>
      <w:r>
        <w:t xml:space="preserve"> to solicit crowd-sourced information sharing about various geothermal resource areas around the world.  Over the past two years, </w:t>
      </w:r>
      <w:proofErr w:type="gramStart"/>
      <w:r>
        <w:t>twelve case studies have been researched by NREL staff testing the usability and content model developed</w:t>
      </w:r>
      <w:proofErr w:type="gramEnd"/>
      <w:r>
        <w:t xml:space="preserve">.  The goal in FY14 is to encourage </w:t>
      </w:r>
      <w:proofErr w:type="gramStart"/>
      <w:r>
        <w:t>crowd-sourcing</w:t>
      </w:r>
      <w:proofErr w:type="gramEnd"/>
      <w:r>
        <w:t xml:space="preserve"> of information to populate information for more areas.</w:t>
      </w:r>
    </w:p>
    <w:p w14:paraId="447E6AE9" w14:textId="77777777" w:rsidR="00CB4973" w:rsidRDefault="00CB4973" w:rsidP="00316F53"/>
    <w:p w14:paraId="42E9E22B" w14:textId="1661E322" w:rsidR="00CB4973" w:rsidRDefault="00CB4973" w:rsidP="00316F53">
      <w:r>
        <w:t xml:space="preserve">The data can be found here: </w:t>
      </w:r>
      <w:hyperlink r:id="rId9" w:history="1">
        <w:r w:rsidRPr="007D70D1">
          <w:rPr>
            <w:rStyle w:val="Hyperlink"/>
          </w:rPr>
          <w:t>http://en.openei.org/wiki/Geothermal_Areas</w:t>
        </w:r>
      </w:hyperlink>
      <w:r>
        <w:t xml:space="preserve"> </w:t>
      </w:r>
    </w:p>
    <w:p w14:paraId="3997C24E" w14:textId="77777777" w:rsidR="00316F53" w:rsidRDefault="00316F53" w:rsidP="00316F53"/>
    <w:p w14:paraId="72079EE1" w14:textId="03A8587C" w:rsidR="00EB616E" w:rsidRPr="00CB4973" w:rsidRDefault="00CB4973" w:rsidP="00CB4973">
      <w:pPr>
        <w:pStyle w:val="Heading2"/>
      </w:pPr>
      <w:proofErr w:type="spellStart"/>
      <w:r>
        <w:t>OpenEI</w:t>
      </w:r>
      <w:proofErr w:type="spellEnd"/>
    </w:p>
    <w:p w14:paraId="296714F3" w14:textId="689B5A23" w:rsidR="00EB616E" w:rsidRPr="00D208F9" w:rsidRDefault="00EB616E" w:rsidP="00EB616E">
      <w:r w:rsidRPr="00D208F9">
        <w:t xml:space="preserve">Information about </w:t>
      </w:r>
      <w:r w:rsidR="00CB4973">
        <w:t>Geothermal Areas</w:t>
      </w:r>
      <w:r w:rsidRPr="00D208F9">
        <w:t xml:space="preserve"> </w:t>
      </w:r>
      <w:proofErr w:type="gramStart"/>
      <w:r w:rsidRPr="00D208F9">
        <w:t>have</w:t>
      </w:r>
      <w:proofErr w:type="gramEnd"/>
      <w:r w:rsidRPr="00D208F9">
        <w:t xml:space="preserve"> been collected on </w:t>
      </w:r>
      <w:proofErr w:type="spellStart"/>
      <w:r w:rsidRPr="00D208F9">
        <w:t>OpenEI</w:t>
      </w:r>
      <w:proofErr w:type="spellEnd"/>
      <w:r w:rsidRPr="00D208F9">
        <w:t xml:space="preserve">.  Some of the advantages of cataloging this information on </w:t>
      </w:r>
      <w:proofErr w:type="spellStart"/>
      <w:r w:rsidRPr="00D208F9">
        <w:t>OpenEI</w:t>
      </w:r>
      <w:proofErr w:type="spellEnd"/>
      <w:r w:rsidRPr="00D208F9">
        <w:t xml:space="preserve"> include:</w:t>
      </w:r>
    </w:p>
    <w:p w14:paraId="729B87D0" w14:textId="77777777" w:rsidR="00EB616E" w:rsidRPr="00D208F9" w:rsidRDefault="00EB616E" w:rsidP="00EB616E">
      <w:r w:rsidRPr="00D208F9">
        <w:t>1. The ability to crowd-source information</w:t>
      </w:r>
    </w:p>
    <w:p w14:paraId="53B63916" w14:textId="77777777" w:rsidR="00EB616E" w:rsidRPr="00D208F9" w:rsidRDefault="00EB616E" w:rsidP="00EB616E">
      <w:r w:rsidRPr="00D208F9">
        <w:t>2. The ability to easily search for the information needed</w:t>
      </w:r>
    </w:p>
    <w:p w14:paraId="10B8EB05" w14:textId="77777777" w:rsidR="00EB616E" w:rsidRPr="00D208F9" w:rsidRDefault="00EB616E" w:rsidP="00EB616E">
      <w:r w:rsidRPr="00D208F9">
        <w:t>3. The ability to query information to compare various techniques</w:t>
      </w:r>
    </w:p>
    <w:p w14:paraId="211CD31E" w14:textId="77777777" w:rsidR="00EB616E" w:rsidRPr="00D208F9" w:rsidRDefault="00EB616E" w:rsidP="00EB616E">
      <w:r w:rsidRPr="00D208F9">
        <w:t xml:space="preserve">4. The ability to link these data to other databases on </w:t>
      </w:r>
      <w:proofErr w:type="spellStart"/>
      <w:r w:rsidRPr="00D208F9">
        <w:t>OpenEI</w:t>
      </w:r>
      <w:proofErr w:type="spellEnd"/>
      <w:r w:rsidRPr="00D208F9">
        <w:t xml:space="preserve"> (for example, the NEPA database)</w:t>
      </w:r>
    </w:p>
    <w:p w14:paraId="69DBF77E" w14:textId="77777777" w:rsidR="00EB616E" w:rsidRPr="00D208F9" w:rsidRDefault="00EB616E" w:rsidP="00EB616E"/>
    <w:p w14:paraId="0A6B9889" w14:textId="699D3511" w:rsidR="00CB4973" w:rsidRPr="00CB4973" w:rsidRDefault="00CB4973" w:rsidP="00CB4973">
      <w:pPr>
        <w:pStyle w:val="Heading2"/>
      </w:pPr>
      <w:r>
        <w:t>Geothermal Area Properties</w:t>
      </w:r>
    </w:p>
    <w:p w14:paraId="36B2958F" w14:textId="4F09BC12" w:rsidR="00EB616E" w:rsidRPr="00D208F9" w:rsidRDefault="00CB4973" w:rsidP="00EB616E">
      <w:r>
        <w:t xml:space="preserve">Properties are searchable and </w:t>
      </w:r>
      <w:proofErr w:type="spellStart"/>
      <w:r>
        <w:t>queriable</w:t>
      </w:r>
      <w:proofErr w:type="spellEnd"/>
      <w:r>
        <w:t xml:space="preserve"> and can be used to compare various geothermal areas and their properties, either directly on </w:t>
      </w:r>
      <w:proofErr w:type="spellStart"/>
      <w:r>
        <w:t>OpenEI</w:t>
      </w:r>
      <w:proofErr w:type="spellEnd"/>
      <w:r>
        <w:t xml:space="preserve">, or by export and manipulation in other programs, such as Excel.  </w:t>
      </w:r>
      <w:r w:rsidR="00EB616E">
        <w:t>Properties</w:t>
      </w:r>
      <w:r w:rsidR="00EB616E" w:rsidRPr="00D208F9">
        <w:t xml:space="preserve"> allowed </w:t>
      </w:r>
      <w:r w:rsidR="00EB616E">
        <w:t xml:space="preserve">(to date) </w:t>
      </w:r>
      <w:r w:rsidR="00EB616E" w:rsidRPr="00D208F9">
        <w:t xml:space="preserve">for each </w:t>
      </w:r>
      <w:r w:rsidR="00EB616E">
        <w:t>Geothermal Area</w:t>
      </w:r>
      <w:r w:rsidR="00EB616E" w:rsidRPr="00D208F9">
        <w:t xml:space="preserve"> include:</w:t>
      </w:r>
    </w:p>
    <w:p w14:paraId="7C20614B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D208F9">
        <w:rPr>
          <w:b/>
          <w:bCs/>
          <w:color w:val="1A1A1A"/>
        </w:rPr>
        <w:t>Map</w:t>
      </w:r>
      <w:r w:rsidRPr="00D208F9">
        <w:rPr>
          <w:color w:val="1A1A1A"/>
        </w:rPr>
        <w:t xml:space="preserve"> - The map of the resource area.</w:t>
      </w:r>
    </w:p>
    <w:p w14:paraId="01416BFE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D208F9">
        <w:rPr>
          <w:b/>
          <w:bCs/>
          <w:color w:val="1A1A1A"/>
        </w:rPr>
        <w:t>Place</w:t>
      </w:r>
      <w:r w:rsidRPr="00D208F9">
        <w:rPr>
          <w:color w:val="1A1A1A"/>
        </w:rPr>
        <w:t xml:space="preserve"> - The city or state in which the resource area is located.</w:t>
      </w:r>
    </w:p>
    <w:p w14:paraId="45D8988F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GeothermalRegion</w:t>
      </w:r>
      <w:proofErr w:type="spellEnd"/>
      <w:r w:rsidRPr="00D208F9">
        <w:rPr>
          <w:color w:val="1A1A1A"/>
        </w:rPr>
        <w:t xml:space="preserve"> - The geothermal exploration region in which the resource area is located.</w:t>
      </w:r>
    </w:p>
    <w:p w14:paraId="21618303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GEADevelopmentPhase</w:t>
      </w:r>
      <w:proofErr w:type="spellEnd"/>
      <w:r w:rsidRPr="00D208F9">
        <w:rPr>
          <w:color w:val="1A1A1A"/>
        </w:rPr>
        <w:t xml:space="preserve"> - The phase of plant construction, as defined by GEA (can have more than one phase if more than one project)</w:t>
      </w:r>
    </w:p>
    <w:p w14:paraId="34EBDFF5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D208F9">
        <w:rPr>
          <w:b/>
          <w:bCs/>
          <w:color w:val="1A1A1A"/>
        </w:rPr>
        <w:t>Coordinates</w:t>
      </w:r>
      <w:r w:rsidRPr="00D208F9">
        <w:rPr>
          <w:color w:val="1A1A1A"/>
        </w:rPr>
        <w:t xml:space="preserve"> - The coordinates (</w:t>
      </w:r>
      <w:proofErr w:type="spellStart"/>
      <w:r w:rsidRPr="00D208F9">
        <w:rPr>
          <w:color w:val="1A1A1A"/>
        </w:rPr>
        <w:t>lat</w:t>
      </w:r>
      <w:proofErr w:type="spellEnd"/>
      <w:r w:rsidRPr="00D208F9">
        <w:rPr>
          <w:color w:val="1A1A1A"/>
        </w:rPr>
        <w:t xml:space="preserve">, </w:t>
      </w:r>
      <w:proofErr w:type="spellStart"/>
      <w:r w:rsidRPr="00D208F9">
        <w:rPr>
          <w:color w:val="1A1A1A"/>
        </w:rPr>
        <w:t>lon</w:t>
      </w:r>
      <w:proofErr w:type="spellEnd"/>
      <w:r w:rsidRPr="00D208F9">
        <w:rPr>
          <w:color w:val="1A1A1A"/>
        </w:rPr>
        <w:t>) of the resource area.</w:t>
      </w:r>
    </w:p>
    <w:p w14:paraId="57FB99FC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MeanReservoirTemp</w:t>
      </w:r>
      <w:proofErr w:type="spellEnd"/>
      <w:r w:rsidRPr="00D208F9">
        <w:rPr>
          <w:color w:val="1A1A1A"/>
        </w:rPr>
        <w:t xml:space="preserve"> - The USGS-defined (2008) mean temperature in degrees Celsius.</w:t>
      </w:r>
    </w:p>
    <w:p w14:paraId="6A4F4C89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EstReservoirVol</w:t>
      </w:r>
      <w:proofErr w:type="spellEnd"/>
      <w:r w:rsidRPr="00D208F9">
        <w:rPr>
          <w:color w:val="1A1A1A"/>
        </w:rPr>
        <w:t xml:space="preserve"> - The USGS-defined (2008) estimated reservoir volume in km³.</w:t>
      </w:r>
    </w:p>
    <w:p w14:paraId="7F380480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MeanCapacity</w:t>
      </w:r>
      <w:proofErr w:type="spellEnd"/>
      <w:r w:rsidRPr="00D208F9">
        <w:rPr>
          <w:color w:val="1A1A1A"/>
        </w:rPr>
        <w:t xml:space="preserve"> - The USGS-defined (2008) mean capacity.</w:t>
      </w:r>
    </w:p>
    <w:p w14:paraId="23118F73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GrossProdCapacity</w:t>
      </w:r>
      <w:proofErr w:type="spellEnd"/>
      <w:r w:rsidRPr="00D208F9">
        <w:rPr>
          <w:color w:val="1A1A1A"/>
        </w:rPr>
        <w:t xml:space="preserve"> - Gross production (including MW needed to run well field and site operations) [MW] of the field. In the case where outside power is purchased to run well </w:t>
      </w:r>
      <w:r w:rsidRPr="00D208F9">
        <w:rPr>
          <w:color w:val="1A1A1A"/>
        </w:rPr>
        <w:lastRenderedPageBreak/>
        <w:t>field/site operations, Gross=Net.</w:t>
      </w:r>
    </w:p>
    <w:p w14:paraId="73B8E672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NetProdCapacity</w:t>
      </w:r>
      <w:proofErr w:type="spellEnd"/>
      <w:r w:rsidRPr="00D208F9">
        <w:rPr>
          <w:color w:val="1A1A1A"/>
        </w:rPr>
        <w:t xml:space="preserve"> - Average Annual Net production [MW] delivered to the grid.</w:t>
      </w:r>
    </w:p>
    <w:p w14:paraId="176DA20C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NumOfPlants</w:t>
      </w:r>
      <w:proofErr w:type="spellEnd"/>
      <w:r w:rsidRPr="00D208F9">
        <w:rPr>
          <w:color w:val="1A1A1A"/>
        </w:rPr>
        <w:t xml:space="preserve"> - The number of operating plants in the area (does not include plants in development)</w:t>
      </w:r>
    </w:p>
    <w:p w14:paraId="63EE58EF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D208F9">
        <w:rPr>
          <w:b/>
          <w:bCs/>
          <w:color w:val="1A1A1A"/>
        </w:rPr>
        <w:t>Owners</w:t>
      </w:r>
      <w:r w:rsidRPr="00D208F9">
        <w:rPr>
          <w:color w:val="1A1A1A"/>
        </w:rPr>
        <w:t xml:space="preserve"> - List of power plant owners in the area</w:t>
      </w:r>
    </w:p>
    <w:p w14:paraId="49D6B9F7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D208F9">
        <w:rPr>
          <w:b/>
          <w:bCs/>
          <w:color w:val="1A1A1A"/>
        </w:rPr>
        <w:t>Operators</w:t>
      </w:r>
      <w:r w:rsidRPr="00D208F9">
        <w:rPr>
          <w:color w:val="1A1A1A"/>
        </w:rPr>
        <w:t xml:space="preserve"> - List of power plant operators in the area</w:t>
      </w:r>
    </w:p>
    <w:p w14:paraId="4DA91D35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D208F9">
        <w:rPr>
          <w:b/>
          <w:bCs/>
          <w:color w:val="1A1A1A"/>
        </w:rPr>
        <w:t>Purchasers</w:t>
      </w:r>
      <w:r w:rsidRPr="00D208F9">
        <w:rPr>
          <w:color w:val="1A1A1A"/>
        </w:rPr>
        <w:t xml:space="preserve"> - List of entities purchasing geothermal power from area</w:t>
      </w:r>
    </w:p>
    <w:p w14:paraId="6BD26A58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NumProdWells</w:t>
      </w:r>
      <w:proofErr w:type="spellEnd"/>
      <w:r w:rsidRPr="00D208F9">
        <w:rPr>
          <w:color w:val="1A1A1A"/>
        </w:rPr>
        <w:t xml:space="preserve"> - Number of production wells in an area</w:t>
      </w:r>
    </w:p>
    <w:p w14:paraId="0246A7FC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NumInjWells</w:t>
      </w:r>
      <w:proofErr w:type="spellEnd"/>
      <w:r w:rsidRPr="00D208F9">
        <w:rPr>
          <w:color w:val="1A1A1A"/>
        </w:rPr>
        <w:t xml:space="preserve"> - Number of injection wells in an area</w:t>
      </w:r>
    </w:p>
    <w:p w14:paraId="6BA72551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NumRepWells</w:t>
      </w:r>
      <w:proofErr w:type="spellEnd"/>
      <w:r w:rsidRPr="00D208F9">
        <w:rPr>
          <w:color w:val="1A1A1A"/>
        </w:rPr>
        <w:t xml:space="preserve"> - Number of replacement wells in an area</w:t>
      </w:r>
    </w:p>
    <w:p w14:paraId="064F8C2B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GeofluidTemp</w:t>
      </w:r>
      <w:proofErr w:type="spellEnd"/>
      <w:r w:rsidRPr="00D208F9">
        <w:rPr>
          <w:color w:val="1A1A1A"/>
        </w:rPr>
        <w:t xml:space="preserve"> - Average temperature of </w:t>
      </w:r>
      <w:proofErr w:type="spellStart"/>
      <w:r w:rsidRPr="00D208F9">
        <w:rPr>
          <w:color w:val="1A1A1A"/>
        </w:rPr>
        <w:t>geofluid</w:t>
      </w:r>
      <w:proofErr w:type="spellEnd"/>
      <w:r w:rsidRPr="00D208F9">
        <w:rPr>
          <w:color w:val="1A1A1A"/>
        </w:rPr>
        <w:t xml:space="preserve"> into plants</w:t>
      </w:r>
    </w:p>
    <w:p w14:paraId="34C0FBDA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ReservoirTemp</w:t>
      </w:r>
      <w:proofErr w:type="spellEnd"/>
      <w:r w:rsidRPr="00D208F9">
        <w:rPr>
          <w:color w:val="1A1A1A"/>
        </w:rPr>
        <w:t xml:space="preserve"> - Average temperature [°C] of the fluid at depth as measured by </w:t>
      </w:r>
      <w:proofErr w:type="spellStart"/>
      <w:r w:rsidRPr="00D208F9">
        <w:rPr>
          <w:color w:val="1A1A1A"/>
        </w:rPr>
        <w:t>geothermometry</w:t>
      </w:r>
      <w:proofErr w:type="spellEnd"/>
      <w:r w:rsidRPr="00D208F9">
        <w:rPr>
          <w:color w:val="1A1A1A"/>
        </w:rPr>
        <w:t xml:space="preserve"> techniques. Indicates the theoretical resource temperature.</w:t>
      </w:r>
    </w:p>
    <w:p w14:paraId="6A8AB6CE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SanyalTempWellhead</w:t>
      </w:r>
      <w:proofErr w:type="spellEnd"/>
      <w:r w:rsidRPr="00D208F9">
        <w:rPr>
          <w:color w:val="1A1A1A"/>
        </w:rPr>
        <w:t xml:space="preserve"> - Classifies resource area based on wellhead </w:t>
      </w:r>
      <w:proofErr w:type="gramStart"/>
      <w:r w:rsidRPr="00D208F9">
        <w:rPr>
          <w:color w:val="1A1A1A"/>
        </w:rPr>
        <w:t>temperature which</w:t>
      </w:r>
      <w:proofErr w:type="gramEnd"/>
      <w:r w:rsidRPr="00D208F9">
        <w:rPr>
          <w:color w:val="1A1A1A"/>
        </w:rPr>
        <w:t xml:space="preserve"> reflects enthalpy of the system that is used.</w:t>
      </w:r>
    </w:p>
    <w:p w14:paraId="6693EA27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SanyalTempReservoir</w:t>
      </w:r>
      <w:proofErr w:type="spellEnd"/>
      <w:r w:rsidRPr="00D208F9">
        <w:rPr>
          <w:color w:val="1A1A1A"/>
        </w:rPr>
        <w:t xml:space="preserve"> - Classifies resource area based on deep reservoir </w:t>
      </w:r>
      <w:proofErr w:type="gramStart"/>
      <w:r w:rsidRPr="00D208F9">
        <w:rPr>
          <w:color w:val="1A1A1A"/>
        </w:rPr>
        <w:t>temperature which</w:t>
      </w:r>
      <w:proofErr w:type="gramEnd"/>
      <w:r w:rsidRPr="00D208F9">
        <w:rPr>
          <w:color w:val="1A1A1A"/>
        </w:rPr>
        <w:t xml:space="preserve"> reflects the enthalpy of the system that could potentially be tapped.</w:t>
      </w:r>
    </w:p>
    <w:p w14:paraId="538ADAE5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ReservoirTopDepth</w:t>
      </w:r>
      <w:proofErr w:type="spellEnd"/>
      <w:r w:rsidRPr="00D208F9">
        <w:rPr>
          <w:color w:val="1A1A1A"/>
        </w:rPr>
        <w:t xml:space="preserve"> - Average depth to reservoir top</w:t>
      </w:r>
    </w:p>
    <w:p w14:paraId="10FC5F48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ReservoirBotDepth</w:t>
      </w:r>
      <w:proofErr w:type="spellEnd"/>
      <w:r w:rsidRPr="00D208F9">
        <w:rPr>
          <w:color w:val="1A1A1A"/>
        </w:rPr>
        <w:t xml:space="preserve"> - Average depth to reservoir bottom</w:t>
      </w:r>
    </w:p>
    <w:p w14:paraId="3CE009B3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AvgReservoirDepth</w:t>
      </w:r>
      <w:proofErr w:type="spellEnd"/>
      <w:r w:rsidRPr="00D208F9">
        <w:rPr>
          <w:color w:val="1A1A1A"/>
        </w:rPr>
        <w:t xml:space="preserve"> - Average depth to reservoir</w:t>
      </w:r>
    </w:p>
    <w:p w14:paraId="79E0E8DF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D208F9">
        <w:rPr>
          <w:b/>
          <w:bCs/>
          <w:color w:val="1A1A1A"/>
        </w:rPr>
        <w:t>Overview</w:t>
      </w:r>
      <w:r w:rsidRPr="00D208F9">
        <w:rPr>
          <w:color w:val="1A1A1A"/>
        </w:rPr>
        <w:t xml:space="preserve"> - Paragraph overview of the resource area</w:t>
      </w:r>
    </w:p>
    <w:p w14:paraId="4452B2D7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AreaGeology</w:t>
      </w:r>
      <w:proofErr w:type="spellEnd"/>
      <w:r w:rsidRPr="00D208F9">
        <w:rPr>
          <w:color w:val="1A1A1A"/>
        </w:rPr>
        <w:t xml:space="preserve"> - A description of the area geology</w:t>
      </w:r>
    </w:p>
    <w:p w14:paraId="33A3B773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D208F9">
        <w:rPr>
          <w:b/>
          <w:bCs/>
          <w:color w:val="1A1A1A"/>
        </w:rPr>
        <w:t>History</w:t>
      </w:r>
      <w:r w:rsidRPr="00D208F9">
        <w:rPr>
          <w:color w:val="1A1A1A"/>
        </w:rPr>
        <w:t xml:space="preserve"> - A description of the history and infrastructure development in the area</w:t>
      </w:r>
    </w:p>
    <w:p w14:paraId="2AC18C59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TechProbSolutions</w:t>
      </w:r>
      <w:proofErr w:type="spellEnd"/>
      <w:r w:rsidRPr="00D208F9">
        <w:rPr>
          <w:color w:val="1A1A1A"/>
        </w:rPr>
        <w:t xml:space="preserve"> - A description of technical problems and solutions</w:t>
      </w:r>
    </w:p>
    <w:p w14:paraId="5E31F671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RegEnvIssues</w:t>
      </w:r>
      <w:proofErr w:type="spellEnd"/>
      <w:r w:rsidRPr="00D208F9">
        <w:rPr>
          <w:color w:val="1A1A1A"/>
        </w:rPr>
        <w:t xml:space="preserve"> - A description of regulatory and environmental issues that have come about during development of the area</w:t>
      </w:r>
    </w:p>
    <w:p w14:paraId="3DC82B29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RDActivities</w:t>
      </w:r>
      <w:proofErr w:type="spellEnd"/>
      <w:r w:rsidRPr="00D208F9">
        <w:rPr>
          <w:color w:val="1A1A1A"/>
        </w:rPr>
        <w:t xml:space="preserve"> - A description of Research, Development and Deployment activities (e.g. DOE-funded projects) in the geothermal area</w:t>
      </w:r>
    </w:p>
    <w:p w14:paraId="432CA321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FuturePlans</w:t>
      </w:r>
      <w:proofErr w:type="spellEnd"/>
      <w:r w:rsidRPr="00D208F9">
        <w:rPr>
          <w:color w:val="1A1A1A"/>
        </w:rPr>
        <w:t xml:space="preserve"> - A description of future plans</w:t>
      </w:r>
    </w:p>
    <w:p w14:paraId="227AFDA9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ExplorationHistory</w:t>
      </w:r>
      <w:proofErr w:type="spellEnd"/>
      <w:r w:rsidRPr="00D208F9">
        <w:rPr>
          <w:color w:val="1A1A1A"/>
        </w:rPr>
        <w:t xml:space="preserve"> - A description of the exploration history</w:t>
      </w:r>
    </w:p>
    <w:p w14:paraId="6361F99C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WellFieldDescription</w:t>
      </w:r>
      <w:proofErr w:type="spellEnd"/>
      <w:r w:rsidRPr="00D208F9">
        <w:rPr>
          <w:color w:val="1A1A1A"/>
        </w:rPr>
        <w:t xml:space="preserve"> - A description of the well field</w:t>
      </w:r>
    </w:p>
    <w:p w14:paraId="40B1BEDF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HydroSystem</w:t>
      </w:r>
      <w:proofErr w:type="spellEnd"/>
      <w:r w:rsidRPr="00D208F9">
        <w:rPr>
          <w:color w:val="1A1A1A"/>
        </w:rPr>
        <w:t xml:space="preserve"> - A description of the hydrothermal system in the area</w:t>
      </w:r>
    </w:p>
    <w:p w14:paraId="7DF44BBF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HeatSource</w:t>
      </w:r>
      <w:proofErr w:type="spellEnd"/>
      <w:r w:rsidRPr="00D208F9">
        <w:rPr>
          <w:color w:val="1A1A1A"/>
        </w:rPr>
        <w:t xml:space="preserve"> - A description of the resource heat source</w:t>
      </w:r>
    </w:p>
    <w:p w14:paraId="200ADD51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D208F9">
        <w:rPr>
          <w:b/>
          <w:bCs/>
          <w:color w:val="1A1A1A"/>
        </w:rPr>
        <w:t>Geochemistry</w:t>
      </w:r>
      <w:r w:rsidRPr="00D208F9">
        <w:rPr>
          <w:color w:val="1A1A1A"/>
        </w:rPr>
        <w:t xml:space="preserve"> - A description of the </w:t>
      </w:r>
      <w:proofErr w:type="spellStart"/>
      <w:r w:rsidRPr="00D208F9">
        <w:rPr>
          <w:color w:val="1A1A1A"/>
        </w:rPr>
        <w:t>geofluid</w:t>
      </w:r>
      <w:proofErr w:type="spellEnd"/>
      <w:r w:rsidRPr="00D208F9">
        <w:rPr>
          <w:color w:val="1A1A1A"/>
        </w:rPr>
        <w:t xml:space="preserve"> geochemistry</w:t>
      </w:r>
    </w:p>
    <w:p w14:paraId="5BD93AE0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OtherUses</w:t>
      </w:r>
      <w:proofErr w:type="spellEnd"/>
      <w:r w:rsidRPr="00D208F9">
        <w:rPr>
          <w:color w:val="1A1A1A"/>
        </w:rPr>
        <w:t xml:space="preserve"> - Other products being produced at the site</w:t>
      </w:r>
    </w:p>
    <w:p w14:paraId="37B48409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FirstWellDate</w:t>
      </w:r>
      <w:proofErr w:type="spellEnd"/>
      <w:r w:rsidRPr="00D208F9">
        <w:rPr>
          <w:color w:val="1A1A1A"/>
        </w:rPr>
        <w:t xml:space="preserve"> - Date of completion of first well</w:t>
      </w:r>
    </w:p>
    <w:p w14:paraId="233A0CE3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FirstWellName</w:t>
      </w:r>
      <w:proofErr w:type="spellEnd"/>
      <w:r w:rsidRPr="00D208F9">
        <w:rPr>
          <w:color w:val="1A1A1A"/>
        </w:rPr>
        <w:t xml:space="preserve"> - Name of first well</w:t>
      </w:r>
    </w:p>
    <w:p w14:paraId="050D1C1D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FirstWellCoordinates</w:t>
      </w:r>
      <w:proofErr w:type="spellEnd"/>
      <w:r w:rsidRPr="00D208F9">
        <w:rPr>
          <w:color w:val="1A1A1A"/>
        </w:rPr>
        <w:t xml:space="preserve"> - Coordinates of first well</w:t>
      </w:r>
    </w:p>
    <w:p w14:paraId="62FC2820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FirstWellDepth</w:t>
      </w:r>
      <w:proofErr w:type="spellEnd"/>
      <w:r w:rsidRPr="00D208F9">
        <w:rPr>
          <w:color w:val="1A1A1A"/>
        </w:rPr>
        <w:t xml:space="preserve"> - Date of completion of first well</w:t>
      </w:r>
    </w:p>
    <w:p w14:paraId="7E9C382D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FirstWellFlowRate</w:t>
      </w:r>
      <w:proofErr w:type="spellEnd"/>
      <w:r w:rsidRPr="00D208F9">
        <w:rPr>
          <w:color w:val="1A1A1A"/>
        </w:rPr>
        <w:t xml:space="preserve"> - Initial flow rate of first well</w:t>
      </w:r>
    </w:p>
    <w:p w14:paraId="4A240D69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FirstWellFlowComments</w:t>
      </w:r>
      <w:proofErr w:type="spellEnd"/>
      <w:r w:rsidRPr="00D208F9">
        <w:rPr>
          <w:color w:val="1A1A1A"/>
        </w:rPr>
        <w:t xml:space="preserve"> - first well flow test comments</w:t>
      </w:r>
    </w:p>
    <w:p w14:paraId="642340BF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FirstWellTemp</w:t>
      </w:r>
      <w:proofErr w:type="spellEnd"/>
      <w:r w:rsidRPr="00D208F9">
        <w:rPr>
          <w:color w:val="1A1A1A"/>
        </w:rPr>
        <w:t xml:space="preserve"> - initial temperature of first well</w:t>
      </w:r>
    </w:p>
    <w:p w14:paraId="3777C3CB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FirstWellLog</w:t>
      </w:r>
      <w:proofErr w:type="spellEnd"/>
      <w:r w:rsidRPr="00D208F9">
        <w:rPr>
          <w:color w:val="1A1A1A"/>
        </w:rPr>
        <w:t xml:space="preserve"> - name of uploaded well log file</w:t>
      </w:r>
    </w:p>
    <w:p w14:paraId="089F0583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StructuralZone</w:t>
      </w:r>
      <w:proofErr w:type="spellEnd"/>
      <w:r w:rsidRPr="00D208F9">
        <w:rPr>
          <w:color w:val="1A1A1A"/>
        </w:rPr>
        <w:t xml:space="preserve"> - Describes the structural zone in which the field lies. (</w:t>
      </w:r>
      <w:proofErr w:type="gramStart"/>
      <w:r w:rsidRPr="00D208F9">
        <w:rPr>
          <w:color w:val="1A1A1A"/>
        </w:rPr>
        <w:t>e</w:t>
      </w:r>
      <w:proofErr w:type="gramEnd"/>
      <w:r w:rsidRPr="00D208F9">
        <w:rPr>
          <w:color w:val="1A1A1A"/>
        </w:rPr>
        <w:t xml:space="preserve">.g. East African Rift Valley, </w:t>
      </w:r>
      <w:proofErr w:type="spellStart"/>
      <w:r w:rsidRPr="00D208F9">
        <w:rPr>
          <w:color w:val="1A1A1A"/>
        </w:rPr>
        <w:t>Taupo</w:t>
      </w:r>
      <w:proofErr w:type="spellEnd"/>
      <w:r w:rsidRPr="00D208F9">
        <w:rPr>
          <w:color w:val="1A1A1A"/>
        </w:rPr>
        <w:t xml:space="preserve"> Volcanic Zone, Walker Lane)</w:t>
      </w:r>
    </w:p>
    <w:p w14:paraId="57A31FFF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TectonicSetting</w:t>
      </w:r>
      <w:proofErr w:type="spellEnd"/>
      <w:r w:rsidRPr="00D208F9">
        <w:rPr>
          <w:color w:val="1A1A1A"/>
        </w:rPr>
        <w:t xml:space="preserve"> - Describes tectonic process responsible for development of geothermal </w:t>
      </w:r>
      <w:r w:rsidRPr="00D208F9">
        <w:rPr>
          <w:color w:val="1A1A1A"/>
        </w:rPr>
        <w:lastRenderedPageBreak/>
        <w:t>resource.</w:t>
      </w:r>
    </w:p>
    <w:p w14:paraId="280F5653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ControlStructure</w:t>
      </w:r>
      <w:proofErr w:type="spellEnd"/>
      <w:r w:rsidRPr="00D208F9">
        <w:rPr>
          <w:color w:val="1A1A1A"/>
        </w:rPr>
        <w:t xml:space="preserve"> - Describes underlying structure that controls permeability and hydrology of the reservoir (as described in REF)</w:t>
      </w:r>
    </w:p>
    <w:p w14:paraId="6F6F7C13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TopoFeatures</w:t>
      </w:r>
      <w:proofErr w:type="spellEnd"/>
      <w:r w:rsidRPr="00D208F9">
        <w:rPr>
          <w:color w:val="1A1A1A"/>
        </w:rPr>
        <w:t xml:space="preserve"> - Describes topographic features within the vicinity of the field (e.g. volcanic features, rift valleys, extensional features) that may be significant reflections of underlying geothermal resources.</w:t>
      </w:r>
    </w:p>
    <w:p w14:paraId="22F7E183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BrophyModel</w:t>
      </w:r>
      <w:proofErr w:type="spellEnd"/>
      <w:r w:rsidRPr="00D208F9">
        <w:rPr>
          <w:color w:val="1A1A1A"/>
        </w:rPr>
        <w:t xml:space="preserve"> - Application of </w:t>
      </w:r>
      <w:proofErr w:type="spellStart"/>
      <w:r w:rsidRPr="00D208F9">
        <w:rPr>
          <w:color w:val="1A1A1A"/>
        </w:rPr>
        <w:t>Brophy's</w:t>
      </w:r>
      <w:proofErr w:type="spellEnd"/>
      <w:r w:rsidRPr="00D208F9">
        <w:rPr>
          <w:color w:val="1A1A1A"/>
        </w:rPr>
        <w:t xml:space="preserve"> occurrence models to each area based on its tectonic and structural setting.</w:t>
      </w:r>
    </w:p>
    <w:p w14:paraId="1A9314C4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ModernGeoFeatures</w:t>
      </w:r>
      <w:proofErr w:type="spellEnd"/>
      <w:r w:rsidRPr="00D208F9">
        <w:rPr>
          <w:color w:val="1A1A1A"/>
        </w:rPr>
        <w:t xml:space="preserve"> - Describes modern surface manifestations present in vicinity of the resource area (e.g. hot springs, fumaroles, </w:t>
      </w:r>
      <w:proofErr w:type="spellStart"/>
      <w:r w:rsidRPr="00D208F9">
        <w:rPr>
          <w:color w:val="1A1A1A"/>
        </w:rPr>
        <w:t>mudpots</w:t>
      </w:r>
      <w:proofErr w:type="spellEnd"/>
      <w:r w:rsidRPr="00D208F9">
        <w:rPr>
          <w:color w:val="1A1A1A"/>
        </w:rPr>
        <w:t>, geysers)</w:t>
      </w:r>
    </w:p>
    <w:p w14:paraId="17906332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RelictGeoFeatures</w:t>
      </w:r>
      <w:proofErr w:type="spellEnd"/>
      <w:r w:rsidRPr="00D208F9">
        <w:rPr>
          <w:color w:val="1A1A1A"/>
        </w:rPr>
        <w:t xml:space="preserve"> - Describes evidence of ancient surface manifestations in the vicinity of the resource area (e.g. hydrothermally altered rock, hydrothermally deposited rock)</w:t>
      </w:r>
    </w:p>
    <w:p w14:paraId="193A2D4A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VolcanicAge</w:t>
      </w:r>
      <w:proofErr w:type="spellEnd"/>
      <w:r w:rsidRPr="00D208F9">
        <w:rPr>
          <w:color w:val="1A1A1A"/>
        </w:rPr>
        <w:t xml:space="preserve"> - Describes the time of the most recent volcanism by epoch, era, or period per available data.</w:t>
      </w:r>
    </w:p>
    <w:p w14:paraId="67E8253B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HostRockAge</w:t>
      </w:r>
      <w:proofErr w:type="spellEnd"/>
      <w:r w:rsidRPr="00D208F9">
        <w:rPr>
          <w:color w:val="1A1A1A"/>
        </w:rPr>
        <w:t xml:space="preserve"> - Describes the age of the reservoir rock by epoch, era, or period per available data.</w:t>
      </w:r>
    </w:p>
    <w:p w14:paraId="4FE92EDC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HostRockLithology</w:t>
      </w:r>
      <w:proofErr w:type="spellEnd"/>
      <w:r w:rsidRPr="00D208F9">
        <w:rPr>
          <w:color w:val="1A1A1A"/>
        </w:rPr>
        <w:t xml:space="preserve"> - Condensed description of the lithology of the reservoir rock.</w:t>
      </w:r>
    </w:p>
    <w:p w14:paraId="3FB79360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CapRockAge</w:t>
      </w:r>
      <w:proofErr w:type="spellEnd"/>
      <w:r w:rsidRPr="00D208F9">
        <w:rPr>
          <w:color w:val="1A1A1A"/>
        </w:rPr>
        <w:t xml:space="preserve"> - Describes the age of the cap rock by epoch, era, or period per available data.</w:t>
      </w:r>
    </w:p>
    <w:p w14:paraId="009DA178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CapRockLithology</w:t>
      </w:r>
      <w:proofErr w:type="spellEnd"/>
      <w:r w:rsidRPr="00D208F9">
        <w:rPr>
          <w:color w:val="1A1A1A"/>
        </w:rPr>
        <w:t xml:space="preserve"> - Condensed description of the lithology of the cap rock.</w:t>
      </w:r>
    </w:p>
    <w:p w14:paraId="3A483908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SalinityLow</w:t>
      </w:r>
      <w:proofErr w:type="spellEnd"/>
      <w:r w:rsidRPr="00D208F9">
        <w:rPr>
          <w:color w:val="1A1A1A"/>
        </w:rPr>
        <w:t xml:space="preserve"> - Describes lower end measurements of salinity [ppm] of the geothermal fluid.</w:t>
      </w:r>
    </w:p>
    <w:p w14:paraId="7FC0C9D6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SalinityHigh</w:t>
      </w:r>
      <w:proofErr w:type="spellEnd"/>
      <w:r w:rsidRPr="00D208F9">
        <w:rPr>
          <w:color w:val="1A1A1A"/>
        </w:rPr>
        <w:t xml:space="preserve"> - Describes higher end measurements of salinity [ppm] of the geothermal fluid.</w:t>
      </w:r>
    </w:p>
    <w:p w14:paraId="220C0B8F" w14:textId="77777777" w:rsidR="00EB616E" w:rsidRPr="00D208F9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SalinityAverage</w:t>
      </w:r>
      <w:proofErr w:type="spellEnd"/>
      <w:r w:rsidRPr="00D208F9">
        <w:rPr>
          <w:color w:val="1A1A1A"/>
        </w:rPr>
        <w:t xml:space="preserve"> - Mean average of the low and </w:t>
      </w:r>
      <w:proofErr w:type="gramStart"/>
      <w:r w:rsidRPr="00D208F9">
        <w:rPr>
          <w:color w:val="1A1A1A"/>
        </w:rPr>
        <w:t>high end</w:t>
      </w:r>
      <w:proofErr w:type="gramEnd"/>
      <w:r w:rsidRPr="00D208F9">
        <w:rPr>
          <w:color w:val="1A1A1A"/>
        </w:rPr>
        <w:t xml:space="preserve"> measurements of the salinity [ppm] of the fluid.</w:t>
      </w:r>
    </w:p>
    <w:p w14:paraId="12646B22" w14:textId="77777777" w:rsidR="00CB4973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proofErr w:type="spellStart"/>
      <w:r w:rsidRPr="00D208F9">
        <w:rPr>
          <w:b/>
          <w:bCs/>
          <w:color w:val="1A1A1A"/>
        </w:rPr>
        <w:t>BrineConstituents</w:t>
      </w:r>
      <w:proofErr w:type="spellEnd"/>
      <w:r w:rsidRPr="00D208F9">
        <w:rPr>
          <w:color w:val="1A1A1A"/>
        </w:rPr>
        <w:t xml:space="preserve"> – Describes major elements, compounds in geothermal </w:t>
      </w:r>
      <w:proofErr w:type="spellStart"/>
      <w:r w:rsidRPr="00D208F9">
        <w:rPr>
          <w:color w:val="1A1A1A"/>
        </w:rPr>
        <w:t>brine</w:t>
      </w:r>
    </w:p>
    <w:p w14:paraId="5D053B5F" w14:textId="316EB338" w:rsidR="00EB616E" w:rsidRPr="00CB4973" w:rsidRDefault="00EB616E" w:rsidP="00EB616E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color w:val="1A1A1A"/>
        </w:rPr>
      </w:pPr>
      <w:r w:rsidRPr="00CB4973">
        <w:rPr>
          <w:b/>
          <w:bCs/>
          <w:color w:val="1A1A1A"/>
        </w:rPr>
        <w:t>WaterResistivity</w:t>
      </w:r>
      <w:proofErr w:type="spellEnd"/>
      <w:r w:rsidRPr="00CB4973">
        <w:rPr>
          <w:color w:val="1A1A1A"/>
        </w:rPr>
        <w:t xml:space="preserve"> – Resistivity (MΩ.cm) of the geothermal fluid</w:t>
      </w:r>
    </w:p>
    <w:p w14:paraId="45105835" w14:textId="0BDF23CE" w:rsidR="002C74E3" w:rsidRPr="00804635" w:rsidRDefault="002C74E3" w:rsidP="00CB4973">
      <w:pPr>
        <w:pStyle w:val="ListParagraph"/>
      </w:pPr>
      <w:bookmarkStart w:id="0" w:name="_GoBack"/>
      <w:bookmarkEnd w:id="0"/>
    </w:p>
    <w:sectPr w:rsidR="002C74E3" w:rsidRPr="00804635" w:rsidSect="002F4BEF">
      <w:footerReference w:type="default" r:id="rId10"/>
      <w:headerReference w:type="first" r:id="rId11"/>
      <w:footerReference w:type="first" r:id="rId12"/>
      <w:pgSz w:w="12240" w:h="15840" w:code="1"/>
      <w:pgMar w:top="1170" w:right="1440" w:bottom="1800" w:left="1440" w:header="806" w:footer="11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3EA10C" w14:textId="77777777" w:rsidR="00E170BF" w:rsidRDefault="00E170BF">
      <w:r>
        <w:separator/>
      </w:r>
    </w:p>
  </w:endnote>
  <w:endnote w:type="continuationSeparator" w:id="0">
    <w:p w14:paraId="217BA88C" w14:textId="77777777" w:rsidR="00E170BF" w:rsidRDefault="00E1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F6C0B" w14:textId="77777777" w:rsidR="00E170BF" w:rsidRDefault="00E170BF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98C5C3" wp14:editId="72E77F56">
          <wp:simplePos x="0" y="0"/>
          <wp:positionH relativeFrom="page">
            <wp:posOffset>457200</wp:posOffset>
          </wp:positionH>
          <wp:positionV relativeFrom="page">
            <wp:posOffset>9144000</wp:posOffset>
          </wp:positionV>
          <wp:extent cx="5114925" cy="438150"/>
          <wp:effectExtent l="19050" t="0" r="9525" b="0"/>
          <wp:wrapNone/>
          <wp:docPr id="18" name="Picture 18" descr="footer_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er_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09E02D" w14:textId="77777777" w:rsidR="00E170BF" w:rsidRDefault="00E170BF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1D5D3AC" wp14:editId="232630B2">
          <wp:simplePos x="0" y="0"/>
          <wp:positionH relativeFrom="page">
            <wp:posOffset>457200</wp:posOffset>
          </wp:positionH>
          <wp:positionV relativeFrom="page">
            <wp:posOffset>9052560</wp:posOffset>
          </wp:positionV>
          <wp:extent cx="5943600" cy="596900"/>
          <wp:effectExtent l="0" t="0" r="0" b="0"/>
          <wp:wrapNone/>
          <wp:docPr id="3" name="Picture 3" descr="Macintosh HD:Users:wgillies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gillies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C75D66" w14:textId="77777777" w:rsidR="00E170BF" w:rsidRDefault="00E170BF">
      <w:r>
        <w:separator/>
      </w:r>
    </w:p>
  </w:footnote>
  <w:footnote w:type="continuationSeparator" w:id="0">
    <w:p w14:paraId="0217FF39" w14:textId="77777777" w:rsidR="00E170BF" w:rsidRDefault="00E17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FCD2F" w14:textId="77777777" w:rsidR="00E170BF" w:rsidRDefault="00E170BF" w:rsidP="00E172EF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0CFA9B" wp14:editId="2AF6E999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885950" cy="504825"/>
          <wp:effectExtent l="19050" t="0" r="0" b="0"/>
          <wp:wrapNone/>
          <wp:docPr id="1" name="Picture 1" descr="header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EF6687" w14:textId="77777777" w:rsidR="00E170BF" w:rsidRDefault="00E170BF" w:rsidP="00E172EF">
    <w:pPr>
      <w:pStyle w:val="Header"/>
      <w:jc w:val="center"/>
    </w:pPr>
  </w:p>
  <w:p w14:paraId="203D3CCF" w14:textId="77777777" w:rsidR="00E170BF" w:rsidRDefault="00E170BF" w:rsidP="00E172EF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D6C4B87" wp14:editId="1E9A55AF">
          <wp:simplePos x="0" y="0"/>
          <wp:positionH relativeFrom="page">
            <wp:posOffset>5172075</wp:posOffset>
          </wp:positionH>
          <wp:positionV relativeFrom="page">
            <wp:posOffset>914400</wp:posOffset>
          </wp:positionV>
          <wp:extent cx="1352550" cy="409575"/>
          <wp:effectExtent l="19050" t="0" r="0" b="0"/>
          <wp:wrapNone/>
          <wp:docPr id="2" name="Picture 1" descr="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8529D06" w14:textId="77777777" w:rsidR="00E170BF" w:rsidRPr="00C81A9C" w:rsidRDefault="00E170BF" w:rsidP="0047714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D600579"/>
    <w:multiLevelType w:val="hybridMultilevel"/>
    <w:tmpl w:val="52528732"/>
    <w:lvl w:ilvl="0" w:tplc="78CA700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5B2C0D"/>
    <w:multiLevelType w:val="hybridMultilevel"/>
    <w:tmpl w:val="49128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B45A8"/>
    <w:multiLevelType w:val="hybridMultilevel"/>
    <w:tmpl w:val="196484A6"/>
    <w:lvl w:ilvl="0" w:tplc="3D00BB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BCC05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8C2A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40E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D20F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66FC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044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F21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0D0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2D5"/>
    <w:rsid w:val="000178BF"/>
    <w:rsid w:val="00024C89"/>
    <w:rsid w:val="00093E6E"/>
    <w:rsid w:val="000A1E1B"/>
    <w:rsid w:val="000B6B83"/>
    <w:rsid w:val="000F47FF"/>
    <w:rsid w:val="0011646D"/>
    <w:rsid w:val="00127BC7"/>
    <w:rsid w:val="00154E84"/>
    <w:rsid w:val="00157820"/>
    <w:rsid w:val="001638D9"/>
    <w:rsid w:val="00184672"/>
    <w:rsid w:val="00185344"/>
    <w:rsid w:val="001858F9"/>
    <w:rsid w:val="001A10AB"/>
    <w:rsid w:val="001A3530"/>
    <w:rsid w:val="00226F75"/>
    <w:rsid w:val="00243CEF"/>
    <w:rsid w:val="00262071"/>
    <w:rsid w:val="00262637"/>
    <w:rsid w:val="0027528C"/>
    <w:rsid w:val="00281373"/>
    <w:rsid w:val="00286FA0"/>
    <w:rsid w:val="00287B78"/>
    <w:rsid w:val="00291E3D"/>
    <w:rsid w:val="00297EAA"/>
    <w:rsid w:val="002C74E3"/>
    <w:rsid w:val="002E7FFC"/>
    <w:rsid w:val="002F4BEF"/>
    <w:rsid w:val="00316F53"/>
    <w:rsid w:val="00320246"/>
    <w:rsid w:val="00335139"/>
    <w:rsid w:val="00344788"/>
    <w:rsid w:val="00354CEC"/>
    <w:rsid w:val="003C13DA"/>
    <w:rsid w:val="003D4696"/>
    <w:rsid w:val="003E1354"/>
    <w:rsid w:val="003E77F2"/>
    <w:rsid w:val="003F40C5"/>
    <w:rsid w:val="004127ED"/>
    <w:rsid w:val="00413056"/>
    <w:rsid w:val="004142AF"/>
    <w:rsid w:val="00423361"/>
    <w:rsid w:val="00425767"/>
    <w:rsid w:val="00451882"/>
    <w:rsid w:val="00455358"/>
    <w:rsid w:val="0046455F"/>
    <w:rsid w:val="0047714D"/>
    <w:rsid w:val="004C6EAD"/>
    <w:rsid w:val="004E5606"/>
    <w:rsid w:val="00506418"/>
    <w:rsid w:val="00526224"/>
    <w:rsid w:val="00536E7B"/>
    <w:rsid w:val="00545194"/>
    <w:rsid w:val="005547D0"/>
    <w:rsid w:val="00587719"/>
    <w:rsid w:val="005973C4"/>
    <w:rsid w:val="005A4885"/>
    <w:rsid w:val="005A7449"/>
    <w:rsid w:val="005E010F"/>
    <w:rsid w:val="005F5469"/>
    <w:rsid w:val="00645A7F"/>
    <w:rsid w:val="006B1DD5"/>
    <w:rsid w:val="006C2D4C"/>
    <w:rsid w:val="006D4304"/>
    <w:rsid w:val="00712ADF"/>
    <w:rsid w:val="00730EF2"/>
    <w:rsid w:val="00746F29"/>
    <w:rsid w:val="00754151"/>
    <w:rsid w:val="00804635"/>
    <w:rsid w:val="0082573E"/>
    <w:rsid w:val="00844A5F"/>
    <w:rsid w:val="00850079"/>
    <w:rsid w:val="008819FD"/>
    <w:rsid w:val="008871EC"/>
    <w:rsid w:val="0089141F"/>
    <w:rsid w:val="008B73D9"/>
    <w:rsid w:val="008D251A"/>
    <w:rsid w:val="008D3B05"/>
    <w:rsid w:val="008E1D8B"/>
    <w:rsid w:val="008E4D37"/>
    <w:rsid w:val="00900263"/>
    <w:rsid w:val="009139BA"/>
    <w:rsid w:val="009314C0"/>
    <w:rsid w:val="00945629"/>
    <w:rsid w:val="00951287"/>
    <w:rsid w:val="009524EF"/>
    <w:rsid w:val="00957F5A"/>
    <w:rsid w:val="0098047D"/>
    <w:rsid w:val="00992D41"/>
    <w:rsid w:val="009A20A9"/>
    <w:rsid w:val="009A4C5D"/>
    <w:rsid w:val="009C4B6B"/>
    <w:rsid w:val="009F49FD"/>
    <w:rsid w:val="00A010BE"/>
    <w:rsid w:val="00A10404"/>
    <w:rsid w:val="00A31ABF"/>
    <w:rsid w:val="00A33CF0"/>
    <w:rsid w:val="00A83A4A"/>
    <w:rsid w:val="00AB1CDF"/>
    <w:rsid w:val="00AB33BE"/>
    <w:rsid w:val="00AC44EA"/>
    <w:rsid w:val="00AC59F9"/>
    <w:rsid w:val="00B1026D"/>
    <w:rsid w:val="00B22FB9"/>
    <w:rsid w:val="00B239A8"/>
    <w:rsid w:val="00B276FA"/>
    <w:rsid w:val="00B528E1"/>
    <w:rsid w:val="00B66704"/>
    <w:rsid w:val="00B842A9"/>
    <w:rsid w:val="00B961E9"/>
    <w:rsid w:val="00BA39C2"/>
    <w:rsid w:val="00C060CF"/>
    <w:rsid w:val="00C1205E"/>
    <w:rsid w:val="00C147FA"/>
    <w:rsid w:val="00C15FE7"/>
    <w:rsid w:val="00C81A9C"/>
    <w:rsid w:val="00C832EA"/>
    <w:rsid w:val="00C83441"/>
    <w:rsid w:val="00CB33F2"/>
    <w:rsid w:val="00CB4973"/>
    <w:rsid w:val="00CB6B01"/>
    <w:rsid w:val="00CC3EBE"/>
    <w:rsid w:val="00CC5D11"/>
    <w:rsid w:val="00CE7FEA"/>
    <w:rsid w:val="00CF230C"/>
    <w:rsid w:val="00D022B2"/>
    <w:rsid w:val="00D15664"/>
    <w:rsid w:val="00D2408D"/>
    <w:rsid w:val="00D24DAE"/>
    <w:rsid w:val="00D3465A"/>
    <w:rsid w:val="00D40428"/>
    <w:rsid w:val="00D612D5"/>
    <w:rsid w:val="00D6581C"/>
    <w:rsid w:val="00D75538"/>
    <w:rsid w:val="00D927EF"/>
    <w:rsid w:val="00DB1C2A"/>
    <w:rsid w:val="00DC5194"/>
    <w:rsid w:val="00DD0C27"/>
    <w:rsid w:val="00DF59F2"/>
    <w:rsid w:val="00E1138A"/>
    <w:rsid w:val="00E1550B"/>
    <w:rsid w:val="00E170BF"/>
    <w:rsid w:val="00E172EF"/>
    <w:rsid w:val="00E204DF"/>
    <w:rsid w:val="00E34013"/>
    <w:rsid w:val="00E72864"/>
    <w:rsid w:val="00E827B4"/>
    <w:rsid w:val="00EB616E"/>
    <w:rsid w:val="00EC7D1D"/>
    <w:rsid w:val="00EF2461"/>
    <w:rsid w:val="00EF7B96"/>
    <w:rsid w:val="00F00074"/>
    <w:rsid w:val="00F01732"/>
    <w:rsid w:val="00F01F50"/>
    <w:rsid w:val="00F522DB"/>
    <w:rsid w:val="00F62ACC"/>
    <w:rsid w:val="00F70E9C"/>
    <w:rsid w:val="00F7407E"/>
    <w:rsid w:val="00FB0CDC"/>
    <w:rsid w:val="00FB70DC"/>
    <w:rsid w:val="00FC0D28"/>
    <w:rsid w:val="00FD6466"/>
    <w:rsid w:val="00FF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7066E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2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02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010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B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81A9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F7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13056"/>
  </w:style>
  <w:style w:type="character" w:customStyle="1" w:styleId="EndnoteTextChar">
    <w:name w:val="Endnote Text Char"/>
    <w:basedOn w:val="DefaultParagraphFont"/>
    <w:link w:val="EndnoteText"/>
    <w:uiPriority w:val="99"/>
    <w:rsid w:val="00413056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130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30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0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0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0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05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500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F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F5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0B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F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002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026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010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10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0B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C81A9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6F75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413056"/>
  </w:style>
  <w:style w:type="character" w:customStyle="1" w:styleId="EndnoteTextChar">
    <w:name w:val="Endnote Text Char"/>
    <w:basedOn w:val="DefaultParagraphFont"/>
    <w:link w:val="EndnoteText"/>
    <w:uiPriority w:val="99"/>
    <w:rsid w:val="00413056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41305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41305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05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05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05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056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50079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16F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F5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F5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n.openei.org/wiki/Geothermal_Areas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jenne\AppData\Local\Temp\2\nrel_memo_col_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47063-3E61-D345-B8EA-6054D1D0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\Users\djenne\AppData\Local\Temp\2\nrel_memo_col_go.dotx</Template>
  <TotalTime>8</TotalTime>
  <Pages>3</Pages>
  <Words>977</Words>
  <Characters>5575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NREL Fax Template--Washington Office--Black and White--Word 2003</vt:lpstr>
    </vt:vector>
  </TitlesOfParts>
  <Company>nrel</Company>
  <LinksUpToDate>false</LinksUpToDate>
  <CharactersWithSpaces>6539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NREL Fax Template--Washington Office--Black and White--Word 2003</dc:title>
  <dc:subject>Corporate template in Microsoft Word for the National Renewable Energy Laboratory.</dc:subject>
  <dc:creator>Scott Jenne</dc:creator>
  <cp:lastModifiedBy>kyoung</cp:lastModifiedBy>
  <cp:revision>4</cp:revision>
  <cp:lastPrinted>2008-10-03T17:22:00Z</cp:lastPrinted>
  <dcterms:created xsi:type="dcterms:W3CDTF">2013-09-28T06:19:00Z</dcterms:created>
  <dcterms:modified xsi:type="dcterms:W3CDTF">2013-09-28T06:27:00Z</dcterms:modified>
</cp:coreProperties>
</file>