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ashx" ContentType="image/jpe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8AD" w:rsidRDefault="00E308AD" w:rsidP="00AF7374">
      <w:pPr>
        <w:pStyle w:val="Title"/>
      </w:pPr>
    </w:p>
    <w:p w:rsidR="00E308AD" w:rsidRDefault="00E308AD" w:rsidP="00AF7374">
      <w:pPr>
        <w:pStyle w:val="Title"/>
      </w:pPr>
    </w:p>
    <w:p w:rsidR="00E308AD" w:rsidRDefault="00E308AD" w:rsidP="00AF7374">
      <w:pPr>
        <w:pStyle w:val="Title"/>
      </w:pPr>
    </w:p>
    <w:p w:rsidR="00E308AD" w:rsidRDefault="00E308AD" w:rsidP="00AF7374">
      <w:pPr>
        <w:pStyle w:val="Title"/>
      </w:pPr>
    </w:p>
    <w:p w:rsidR="00AF7374" w:rsidRDefault="00AF7374" w:rsidP="00AF7374">
      <w:pPr>
        <w:pStyle w:val="Title"/>
      </w:pPr>
      <w:r>
        <w:t>Centralizer</w:t>
      </w:r>
      <w:r w:rsidR="00C51919">
        <w:t xml:space="preserve">s:  </w:t>
      </w:r>
      <w:r w:rsidR="00B326DC">
        <w:t>A Review</w:t>
      </w:r>
    </w:p>
    <w:p w:rsidR="00AF7374" w:rsidRDefault="00AF7374" w:rsidP="00AF7374">
      <w:pPr>
        <w:pStyle w:val="Subtitle"/>
      </w:pPr>
    </w:p>
    <w:p w:rsidR="00E308AD" w:rsidRDefault="00E308AD" w:rsidP="00E308AD">
      <w:pPr>
        <w:pStyle w:val="Subtitle"/>
        <w:jc w:val="right"/>
      </w:pPr>
    </w:p>
    <w:p w:rsidR="004A5E0E" w:rsidRDefault="004A5E0E" w:rsidP="004A5E0E">
      <w:pPr>
        <w:pStyle w:val="Subtitle"/>
      </w:pPr>
      <w:r>
        <w:br/>
        <w:t>Date:</w:t>
      </w:r>
      <w:r>
        <w:tab/>
      </w:r>
    </w:p>
    <w:p w:rsidR="004A5E0E" w:rsidRDefault="00E805F6" w:rsidP="004A5E0E">
      <w:pPr>
        <w:pStyle w:val="Subtitle"/>
      </w:pPr>
      <w:r>
        <w:t>April 17</w:t>
      </w:r>
      <w:r w:rsidR="004A5E0E">
        <w:t>, 2014</w:t>
      </w:r>
    </w:p>
    <w:p w:rsidR="004A5E0E" w:rsidRPr="004A5E0E" w:rsidRDefault="004A5E0E" w:rsidP="008362E8"/>
    <w:p w:rsidR="004A5E0E" w:rsidRDefault="004A5E0E" w:rsidP="004A5E0E">
      <w:pPr>
        <w:pStyle w:val="Subtitle"/>
      </w:pPr>
      <w:r>
        <w:t xml:space="preserve">To: </w:t>
      </w:r>
    </w:p>
    <w:p w:rsidR="004A5E0E" w:rsidRDefault="004A5E0E" w:rsidP="004A5E0E">
      <w:pPr>
        <w:pStyle w:val="Subtitle"/>
      </w:pPr>
      <w:r>
        <w:t>Lauren Boyd and Greg Stillman</w:t>
      </w:r>
    </w:p>
    <w:p w:rsidR="004A5E0E" w:rsidRDefault="004A5E0E" w:rsidP="004A5E0E">
      <w:pPr>
        <w:pStyle w:val="Subtitle"/>
      </w:pPr>
      <w:r>
        <w:t>United States Department of Energy</w:t>
      </w:r>
    </w:p>
    <w:p w:rsidR="008362E8" w:rsidRDefault="008362E8" w:rsidP="004A5E0E">
      <w:pPr>
        <w:pStyle w:val="Subtitle"/>
      </w:pPr>
    </w:p>
    <w:p w:rsidR="008362E8" w:rsidRDefault="008362E8" w:rsidP="004A5E0E">
      <w:pPr>
        <w:pStyle w:val="Subtitle"/>
      </w:pPr>
    </w:p>
    <w:p w:rsidR="004A5E0E" w:rsidRDefault="004A5E0E" w:rsidP="004A5E0E">
      <w:pPr>
        <w:pStyle w:val="Subtitle"/>
      </w:pPr>
      <w:r>
        <w:t xml:space="preserve">From:  </w:t>
      </w:r>
    </w:p>
    <w:p w:rsidR="004A5E0E" w:rsidRDefault="004A5E0E" w:rsidP="004A5E0E">
      <w:pPr>
        <w:pStyle w:val="Subtitle"/>
      </w:pPr>
      <w:r>
        <w:t>Jiann Su</w:t>
      </w:r>
    </w:p>
    <w:p w:rsidR="004A5E0E" w:rsidRDefault="004A5E0E" w:rsidP="004A5E0E">
      <w:pPr>
        <w:pStyle w:val="Subtitle"/>
      </w:pPr>
      <w:r>
        <w:t>Sandia National Laboratories</w:t>
      </w:r>
    </w:p>
    <w:p w:rsidR="00E308AD" w:rsidRDefault="00E308AD" w:rsidP="00E308AD">
      <w:pPr>
        <w:pStyle w:val="Subtitle"/>
        <w:jc w:val="right"/>
      </w:pPr>
    </w:p>
    <w:p w:rsidR="00E308AD" w:rsidRDefault="00E308AD" w:rsidP="00E308AD">
      <w:pPr>
        <w:pStyle w:val="Subtitle"/>
        <w:jc w:val="right"/>
      </w:pPr>
    </w:p>
    <w:p w:rsidR="00AF7374" w:rsidRDefault="00AF7374" w:rsidP="00E308AD">
      <w:pPr>
        <w:pStyle w:val="Subtitle"/>
        <w:jc w:val="right"/>
        <w:rPr>
          <w:color w:val="365F91" w:themeColor="accent1" w:themeShade="BF"/>
          <w:sz w:val="28"/>
          <w:szCs w:val="28"/>
        </w:rPr>
      </w:pPr>
      <w:r>
        <w:br w:type="page"/>
      </w:r>
    </w:p>
    <w:p w:rsidR="00903FB0" w:rsidRDefault="00415EB2" w:rsidP="00903FB0">
      <w:pPr>
        <w:pStyle w:val="Heading1"/>
      </w:pPr>
      <w:r>
        <w:lastRenderedPageBreak/>
        <w:t>Introduction</w:t>
      </w:r>
    </w:p>
    <w:p w:rsidR="00AF7374" w:rsidRDefault="00183E18" w:rsidP="00415EB2">
      <w:r>
        <w:t>W</w:t>
      </w:r>
      <w:r w:rsidR="00AF7374">
        <w:t xml:space="preserve">ell completions are an integral part of </w:t>
      </w:r>
      <w:r w:rsidR="00B66745">
        <w:t>providing</w:t>
      </w:r>
      <w:r>
        <w:t xml:space="preserve"> safe, reliable </w:t>
      </w:r>
      <w:r w:rsidR="00187F62">
        <w:t xml:space="preserve">and continuous </w:t>
      </w:r>
      <w:r>
        <w:t xml:space="preserve">access to underground </w:t>
      </w:r>
      <w:r w:rsidR="00B66745">
        <w:t>resources such as oil</w:t>
      </w:r>
      <w:r w:rsidR="00187F62">
        <w:t xml:space="preserve">, </w:t>
      </w:r>
      <w:r w:rsidR="00B66745">
        <w:t xml:space="preserve">gas </w:t>
      </w:r>
      <w:r w:rsidR="00B326DC">
        <w:t xml:space="preserve">and </w:t>
      </w:r>
      <w:r w:rsidR="00B66745">
        <w:t xml:space="preserve">geothermal resources.  </w:t>
      </w:r>
      <w:r w:rsidR="00FE67F0">
        <w:t>C</w:t>
      </w:r>
      <w:r w:rsidR="00BC12FD">
        <w:t xml:space="preserve">ompletions are </w:t>
      </w:r>
      <w:r w:rsidR="00FE67F0">
        <w:t xml:space="preserve">typically </w:t>
      </w:r>
      <w:r w:rsidR="00BC12FD">
        <w:t>considered to be the final step of drilling engineering which includes processes such as setting casing, cementing, and perforating to reach the target formation</w:t>
      </w:r>
      <w:r w:rsidR="003833F5">
        <w:t xml:space="preserve"> </w:t>
      </w:r>
      <w:r w:rsidR="00C84A4C">
        <w:fldChar w:fldCharType="begin"/>
      </w:r>
      <w:r w:rsidR="00C84A4C">
        <w:instrText xml:space="preserve"> ADDIN EN.CITE &lt;EndNote&gt;&lt;Cite&gt;&lt;Author&gt;Wan&lt;/Author&gt;&lt;Year&gt;2011&lt;/Year&gt;&lt;RecNum&gt;407&lt;/RecNum&gt;&lt;DisplayText&gt;[1]&lt;/DisplayText&gt;&lt;record&gt;&lt;rec-number&gt;407&lt;/rec-number&gt;&lt;foreign-keys&gt;&lt;key app="EN" db-id="rwzxp2sses9f5deexw8xe0tjf5f2wep0epv9"&gt;407&lt;/key&gt;&lt;/foreign-keys&gt;&lt;ref-type name="Book"&gt;6&lt;/ref-type&gt;&lt;contributors&gt;&lt;authors&gt;&lt;author&gt;Wan, Renpu&lt;/author&gt;&lt;/authors&gt;&lt;/contributors&gt;&lt;titles&gt;&lt;title&gt;Advanced well completion engineering&lt;/title&gt;&lt;/titles&gt;&lt;pages&gt;xx, 715 p.&lt;/pages&gt;&lt;edition&gt;3rd&lt;/edition&gt;&lt;keywords&gt;&lt;keyword&gt;Oil well completion.&lt;/keyword&gt;&lt;/keywords&gt;&lt;dates&gt;&lt;year&gt;2011&lt;/year&gt;&lt;/dates&gt;&lt;pub-location&gt;Waltham, MA&lt;/pub-location&gt;&lt;publisher&gt;Gulf Professional Pub.&lt;/publisher&gt;&lt;isbn&gt;9780123858689 (alk. paper)&lt;/isbn&gt;&lt;accession-num&gt;16677742&lt;/accession-num&gt;&lt;call-num&gt;Jefferson or Adams Building Reading Rooms TN871.2; .R384 2011&lt;/call-num&gt;&lt;urls&gt;&lt;/urls&gt;&lt;/record&gt;&lt;/Cite&gt;&lt;/EndNote&gt;</w:instrText>
      </w:r>
      <w:r w:rsidR="00C84A4C">
        <w:fldChar w:fldCharType="separate"/>
      </w:r>
      <w:r w:rsidR="00C84A4C">
        <w:rPr>
          <w:noProof/>
        </w:rPr>
        <w:t>[</w:t>
      </w:r>
      <w:hyperlink w:anchor="_ENREF_1" w:tooltip="Wan, 2011 #407" w:history="1">
        <w:r w:rsidR="00817F40">
          <w:rPr>
            <w:noProof/>
          </w:rPr>
          <w:t>1</w:t>
        </w:r>
      </w:hyperlink>
      <w:r w:rsidR="00C84A4C">
        <w:rPr>
          <w:noProof/>
        </w:rPr>
        <w:t>]</w:t>
      </w:r>
      <w:r w:rsidR="00C84A4C">
        <w:fldChar w:fldCharType="end"/>
      </w:r>
      <w:r w:rsidR="00BC12FD">
        <w:t xml:space="preserve">.  </w:t>
      </w:r>
      <w:r w:rsidR="00487742">
        <w:t>Compl</w:t>
      </w:r>
      <w:r w:rsidR="003459AF">
        <w:t xml:space="preserve">etions provide the </w:t>
      </w:r>
      <w:r w:rsidR="003833F5">
        <w:t>conduit</w:t>
      </w:r>
      <w:r w:rsidR="003459AF">
        <w:t xml:space="preserve"> from the resource to the surface.  </w:t>
      </w:r>
      <w:r w:rsidR="00BC12FD">
        <w:t>Although completions encompass a wide range of disciplines, several key factors ultimately d</w:t>
      </w:r>
      <w:r w:rsidR="00FE67F0">
        <w:t>etermine t</w:t>
      </w:r>
      <w:r w:rsidR="00BC12FD">
        <w:t>he quality o</w:t>
      </w:r>
      <w:r w:rsidR="00C340A8">
        <w:t>f the completion.  One of those is cementing and centralizing casing within the wellbore.</w:t>
      </w:r>
    </w:p>
    <w:p w:rsidR="00175CBF" w:rsidRDefault="00F56D28" w:rsidP="00415EB2">
      <w:r>
        <w:t xml:space="preserve">Centralizers </w:t>
      </w:r>
      <w:r w:rsidR="00175CBF">
        <w:t xml:space="preserve">provide the restoring force to keep casing centered in a wellbore.  This centralization provides a uniform space between the casing and wellbore to promote good cementing, and thus isolating fluids from different zones in a formation.  </w:t>
      </w:r>
    </w:p>
    <w:p w:rsidR="00AF7374" w:rsidRDefault="00175CBF" w:rsidP="00415EB2">
      <w:r>
        <w:t xml:space="preserve">This white paper examines the current state of the art for centralizers in the context of well completions.  </w:t>
      </w:r>
      <w:r w:rsidR="00775CF2">
        <w:t xml:space="preserve">The </w:t>
      </w:r>
      <w:r>
        <w:t>paper</w:t>
      </w:r>
      <w:r w:rsidR="00775CF2">
        <w:t xml:space="preserve"> will </w:t>
      </w:r>
      <w:r>
        <w:t>include a</w:t>
      </w:r>
      <w:r w:rsidR="0078472D">
        <w:t xml:space="preserve">n introductory </w:t>
      </w:r>
      <w:r>
        <w:t xml:space="preserve">primer on well completions to provide the framework for the centralizer discussions.  The types of centralizers currently available and how they are used will be discussed in addition to alternative centralizer techniques.  </w:t>
      </w:r>
      <w:r w:rsidR="00775CF2">
        <w:t xml:space="preserve">  </w:t>
      </w:r>
    </w:p>
    <w:p w:rsidR="00903FB0" w:rsidRPr="00903FB0" w:rsidRDefault="00175CBF" w:rsidP="00175CBF">
      <w:pPr>
        <w:pStyle w:val="Heading1"/>
      </w:pPr>
      <w:bookmarkStart w:id="0" w:name="_GoBack"/>
      <w:bookmarkEnd w:id="0"/>
      <w:r>
        <w:t>Well Completions</w:t>
      </w:r>
      <w:r w:rsidR="00415EB2">
        <w:tab/>
      </w:r>
    </w:p>
    <w:p w:rsidR="00A93A05" w:rsidRDefault="00A93A05" w:rsidP="00903FB0">
      <w:pPr>
        <w:pStyle w:val="Heading2"/>
      </w:pPr>
      <w:r>
        <w:t xml:space="preserve">What are </w:t>
      </w:r>
      <w:r w:rsidR="00F14016">
        <w:t>well co</w:t>
      </w:r>
      <w:r>
        <w:t>mpletions?</w:t>
      </w:r>
    </w:p>
    <w:p w:rsidR="002B23A4" w:rsidRDefault="003B375D" w:rsidP="003833F5">
      <w:r>
        <w:t xml:space="preserve">Well completion is the process of making a well ready for production or injection </w:t>
      </w:r>
      <w:r w:rsidR="00C74715">
        <w:fldChar w:fldCharType="begin"/>
      </w:r>
      <w:r w:rsidR="00C74715">
        <w:instrText xml:space="preserve"> ADDIN EN.CITE &lt;EndNote&gt;&lt;Cite ExcludeYear="1"&gt;&lt;Author&gt;Wikipedia&lt;/Author&gt;&lt;RecNum&gt;443&lt;/RecNum&gt;&lt;DisplayText&gt;[2]&lt;/DisplayText&gt;&lt;record&gt;&lt;rec-number&gt;443&lt;/rec-number&gt;&lt;foreign-keys&gt;&lt;key app="EN" db-id="rwzxp2sses9f5deexw8xe0tjf5f2wep0epv9"&gt;443&lt;/key&gt;&lt;/foreign-keys&gt;&lt;ref-type name="Web Page"&gt;12&lt;/ref-type&gt;&lt;contributors&gt;&lt;authors&gt;&lt;author&gt;Wikipedia&lt;/author&gt;&lt;/authors&gt;&lt;/contributors&gt;&lt;titles&gt;&lt;title&gt;Completion (oil and gas wells)&lt;/title&gt;&lt;/titles&gt;&lt;volume&gt;2014&lt;/volume&gt;&lt;number&gt;February, 5&lt;/number&gt;&lt;dates&gt;&lt;year&gt;2014&lt;/year&gt;&lt;/dates&gt;&lt;urls&gt;&lt;related-urls&gt;&lt;url&gt;http://en.wikipedia.org/wiki/Completion_%28oil_and_gas_wells%29&lt;/url&gt;&lt;/related-urls&gt;&lt;/urls&gt;&lt;/record&gt;&lt;/Cite&gt;&lt;/EndNote&gt;</w:instrText>
      </w:r>
      <w:r w:rsidR="00C74715">
        <w:fldChar w:fldCharType="separate"/>
      </w:r>
      <w:r w:rsidR="00C74715">
        <w:rPr>
          <w:noProof/>
        </w:rPr>
        <w:t>[</w:t>
      </w:r>
      <w:hyperlink w:anchor="_ENREF_2" w:tooltip="Wikipedia, 2014 #443" w:history="1">
        <w:r w:rsidR="00817F40">
          <w:rPr>
            <w:noProof/>
          </w:rPr>
          <w:t>2</w:t>
        </w:r>
      </w:hyperlink>
      <w:r w:rsidR="00C74715">
        <w:rPr>
          <w:noProof/>
        </w:rPr>
        <w:t>]</w:t>
      </w:r>
      <w:r w:rsidR="00C74715">
        <w:fldChar w:fldCharType="end"/>
      </w:r>
      <w:r>
        <w:t>.</w:t>
      </w:r>
      <w:r w:rsidR="002B23A4">
        <w:t xml:space="preserve">  It is a multi-discipline </w:t>
      </w:r>
      <w:proofErr w:type="gramStart"/>
      <w:r w:rsidR="002B23A4">
        <w:t>systems</w:t>
      </w:r>
      <w:proofErr w:type="gramEnd"/>
      <w:r w:rsidR="002B23A4">
        <w:t xml:space="preserve"> engineering task involving geology, drilling, cementing, and production.  The goal of the completion is to provide a safe and efficient conduit from the formation to the surface.  A good well completion </w:t>
      </w:r>
      <w:r w:rsidR="00187F62">
        <w:t xml:space="preserve">must </w:t>
      </w:r>
      <w:r w:rsidR="002B23A4">
        <w:t xml:space="preserve">minimize formation damage, maintain good communication between the reservoir and wellbore, and maximize reservoir productivity </w:t>
      </w:r>
      <w:r w:rsidR="002B23A4">
        <w:fldChar w:fldCharType="begin"/>
      </w:r>
      <w:r w:rsidR="002B23A4">
        <w:instrText xml:space="preserve"> ADDIN EN.CITE &lt;EndNote&gt;&lt;Cite ExcludeYear="1"&gt;&lt;Author&gt;Wan&lt;/Author&gt;&lt;Year&gt;2011&lt;/Year&gt;&lt;RecNum&gt;407&lt;/RecNum&gt;&lt;DisplayText&gt;[1]&lt;/DisplayText&gt;&lt;record&gt;&lt;rec-number&gt;407&lt;/rec-number&gt;&lt;foreign-keys&gt;&lt;key app="EN" db-id="rwzxp2sses9f5deexw8xe0tjf5f2wep0epv9"&gt;407&lt;/key&gt;&lt;/foreign-keys&gt;&lt;ref-type name="Book"&gt;6&lt;/ref-type&gt;&lt;contributors&gt;&lt;authors&gt;&lt;author&gt;Wan, Renpu&lt;/author&gt;&lt;/authors&gt;&lt;/contributors&gt;&lt;titles&gt;&lt;title&gt;Advanced well completion engineering&lt;/title&gt;&lt;/titles&gt;&lt;pages&gt;xx, 715 p.&lt;/pages&gt;&lt;edition&gt;3rd&lt;/edition&gt;&lt;keywords&gt;&lt;keyword&gt;Oil well completion.&lt;/keyword&gt;&lt;/keywords&gt;&lt;dates&gt;&lt;year&gt;2011&lt;/year&gt;&lt;/dates&gt;&lt;pub-location&gt;Waltham, MA&lt;/pub-location&gt;&lt;publisher&gt;Gulf Professional Pub.&lt;/publisher&gt;&lt;isbn&gt;9780123858689 (alk. paper)&lt;/isbn&gt;&lt;accession-num&gt;16677742&lt;/accession-num&gt;&lt;call-num&gt;Jefferson or Adams Building Reading Rooms TN871.2; .R384 2011&lt;/call-num&gt;&lt;urls&gt;&lt;/urls&gt;&lt;/record&gt;&lt;/Cite&gt;&lt;/EndNote&gt;</w:instrText>
      </w:r>
      <w:r w:rsidR="002B23A4">
        <w:fldChar w:fldCharType="separate"/>
      </w:r>
      <w:r w:rsidR="002B23A4">
        <w:rPr>
          <w:noProof/>
        </w:rPr>
        <w:t>[</w:t>
      </w:r>
      <w:hyperlink w:anchor="_ENREF_1" w:tooltip="Wan, 2011 #407" w:history="1">
        <w:r w:rsidR="00817F40">
          <w:rPr>
            <w:noProof/>
          </w:rPr>
          <w:t>1</w:t>
        </w:r>
      </w:hyperlink>
      <w:r w:rsidR="002B23A4">
        <w:rPr>
          <w:noProof/>
        </w:rPr>
        <w:t>]</w:t>
      </w:r>
      <w:r w:rsidR="002B23A4">
        <w:fldChar w:fldCharType="end"/>
      </w:r>
      <w:r w:rsidR="002B23A4">
        <w:t>.</w:t>
      </w:r>
      <w:r w:rsidR="007327FD">
        <w:t xml:space="preserve"> </w:t>
      </w:r>
      <w:r w:rsidR="005B049E">
        <w:t xml:space="preserve"> </w:t>
      </w:r>
      <w:r w:rsidR="002B23A4">
        <w:t xml:space="preserve">A completion design requires not only sound science and engineering, but also practical hands-on </w:t>
      </w:r>
      <w:proofErr w:type="spellStart"/>
      <w:r w:rsidR="002B23A4">
        <w:t>wellsite</w:t>
      </w:r>
      <w:proofErr w:type="spellEnd"/>
      <w:r w:rsidR="002B23A4">
        <w:t xml:space="preserve"> experience.  A balance of theoretical and practical tends to produce the best results </w:t>
      </w:r>
      <w:r w:rsidR="002B23A4">
        <w:fldChar w:fldCharType="begin"/>
      </w:r>
      <w:r w:rsidR="002B23A4">
        <w:instrText xml:space="preserve"> ADDIN EN.CITE &lt;EndNote&gt;&lt;Cite&gt;&lt;Author&gt;Bellarby&lt;/Author&gt;&lt;Year&gt;2009&lt;/Year&gt;&lt;RecNum&gt;408&lt;/RecNum&gt;&lt;DisplayText&gt;[3]&lt;/DisplayText&gt;&lt;record&gt;&lt;rec-number&gt;408&lt;/rec-number&gt;&lt;foreign-keys&gt;&lt;key app="EN" db-id="rwzxp2sses9f5deexw8xe0tjf5f2wep0epv9"&gt;408&lt;/key&gt;&lt;/foreign-keys&gt;&lt;ref-type name="Book"&gt;6&lt;/ref-type&gt;&lt;contributors&gt;&lt;authors&gt;&lt;author&gt;Bellarby, Jonathan&lt;/author&gt;&lt;/authors&gt;&lt;/contributors&gt;&lt;titles&gt;&lt;title&gt;Well completion design&lt;/title&gt;&lt;secondary-title&gt;Developments in petroleum science,&lt;/secondary-title&gt;&lt;/titles&gt;&lt;pages&gt;xiii, 711 p.&lt;/pages&gt;&lt;number&gt;56&lt;/number&gt;&lt;edition&gt;1st&lt;/edition&gt;&lt;keywords&gt;&lt;keyword&gt;Oil well completion.&lt;/keyword&gt;&lt;/keywords&gt;&lt;dates&gt;&lt;year&gt;2009&lt;/year&gt;&lt;/dates&gt;&lt;pub-location&gt;Amsterdam, Netherlands ; Boston, Mass.&lt;/pub-location&gt;&lt;publisher&gt;Elsevier&lt;/publisher&gt;&lt;isbn&gt;9780444532107&amp;#xD;0444532102&amp;#xD;0376-7361 ;&lt;/isbn&gt;&lt;accession-num&gt;17200805&lt;/accession-num&gt;&lt;call-num&gt;Jefferson or Adams Building Reading Rooms TN871.2; .B45 2009&lt;/call-num&gt;&lt;urls&gt;&lt;/urls&gt;&lt;/record&gt;&lt;/Cite&gt;&lt;/EndNote&gt;</w:instrText>
      </w:r>
      <w:r w:rsidR="002B23A4">
        <w:fldChar w:fldCharType="separate"/>
      </w:r>
      <w:r w:rsidR="002B23A4">
        <w:rPr>
          <w:noProof/>
        </w:rPr>
        <w:t>[</w:t>
      </w:r>
      <w:hyperlink w:anchor="_ENREF_3" w:tooltip="Bellarby, 2009 #408" w:history="1">
        <w:r w:rsidR="00817F40">
          <w:rPr>
            <w:noProof/>
          </w:rPr>
          <w:t>3</w:t>
        </w:r>
      </w:hyperlink>
      <w:r w:rsidR="002B23A4">
        <w:rPr>
          <w:noProof/>
        </w:rPr>
        <w:t>]</w:t>
      </w:r>
      <w:r w:rsidR="002B23A4">
        <w:fldChar w:fldCharType="end"/>
      </w:r>
      <w:r w:rsidR="002B23A4">
        <w:t>.</w:t>
      </w:r>
    </w:p>
    <w:p w:rsidR="00DF6F87" w:rsidRDefault="00B36069">
      <w:r>
        <w:t xml:space="preserve">Well design and completion typically depends on regulatory as well as economic issues.  </w:t>
      </w:r>
      <w:r w:rsidR="00187F62">
        <w:t xml:space="preserve">Completions </w:t>
      </w:r>
      <w:r w:rsidR="005B049E">
        <w:t>are</w:t>
      </w:r>
      <w:r w:rsidR="00DF6F87">
        <w:t xml:space="preserve"> often divided </w:t>
      </w:r>
      <w:r w:rsidR="00187F62">
        <w:t xml:space="preserve">between </w:t>
      </w:r>
      <w:r w:rsidR="00DF6F87">
        <w:t xml:space="preserve">reservoir completion and </w:t>
      </w:r>
      <w:r w:rsidR="00187F62">
        <w:t xml:space="preserve">production </w:t>
      </w:r>
      <w:r w:rsidR="00DF6F87">
        <w:t xml:space="preserve">completion.  The reservoir completion is relates to the connection between the reservoir and the well.  The </w:t>
      </w:r>
      <w:r w:rsidR="00187F62">
        <w:t xml:space="preserve">production </w:t>
      </w:r>
      <w:r w:rsidR="00DF6F87">
        <w:t>completion is the conduit from reserv</w:t>
      </w:r>
      <w:r w:rsidR="00187F62">
        <w:t>oir</w:t>
      </w:r>
      <w:r w:rsidR="00DF6F87">
        <w:t xml:space="preserve"> to the surface.  </w:t>
      </w:r>
    </w:p>
    <w:p w:rsidR="00DF6F87" w:rsidRDefault="00DF6F87">
      <w:r>
        <w:t xml:space="preserve">Key considerations for reservoir completion include the following </w:t>
      </w:r>
      <w:r w:rsidR="00C84A4C">
        <w:fldChar w:fldCharType="begin"/>
      </w:r>
      <w:r w:rsidR="00DE71EA">
        <w:instrText xml:space="preserve"> ADDIN EN.CITE &lt;EndNote&gt;&lt;Cite&gt;&lt;Author&gt;Bellarby&lt;/Author&gt;&lt;Year&gt;2009&lt;/Year&gt;&lt;RecNum&gt;408&lt;/RecNum&gt;&lt;DisplayText&gt;[3]&lt;/DisplayText&gt;&lt;record&gt;&lt;rec-number&gt;408&lt;/rec-number&gt;&lt;foreign-keys&gt;&lt;key app="EN" db-id="rwzxp2sses9f5deexw8xe0tjf5f2wep0epv9"&gt;408&lt;/key&gt;&lt;/foreign-keys&gt;&lt;ref-type name="Book"&gt;6&lt;/ref-type&gt;&lt;contributors&gt;&lt;authors&gt;&lt;author&gt;Bellarby, Jonathan&lt;/author&gt;&lt;/authors&gt;&lt;/contributors&gt;&lt;titles&gt;&lt;title&gt;Well completion design&lt;/title&gt;&lt;secondary-title&gt;Developments in petroleum science,&lt;/secondary-title&gt;&lt;/titles&gt;&lt;pages&gt;xiii, 711 p.&lt;/pages&gt;&lt;number&gt;56&lt;/number&gt;&lt;edition&gt;1st&lt;/edition&gt;&lt;keywords&gt;&lt;keyword&gt;Oil well completion.&lt;/keyword&gt;&lt;/keywords&gt;&lt;dates&gt;&lt;year&gt;2009&lt;/year&gt;&lt;/dates&gt;&lt;pub-location&gt;Amsterdam, Netherlands ; Boston, Mass.&lt;/pub-location&gt;&lt;publisher&gt;Elsevier&lt;/publisher&gt;&lt;isbn&gt;9780444532107&amp;#xD;0444532102&amp;#xD;0376-7361 ;&lt;/isbn&gt;&lt;accession-num&gt;17200805&lt;/accession-num&gt;&lt;call-num&gt;Jefferson or Adams Building Reading Rooms TN871.2; .B45 2009&lt;/call-num&gt;&lt;urls&gt;&lt;/urls&gt;&lt;/record&gt;&lt;/Cite&gt;&lt;/EndNote&gt;</w:instrText>
      </w:r>
      <w:r w:rsidR="00C84A4C">
        <w:fldChar w:fldCharType="separate"/>
      </w:r>
      <w:r w:rsidR="00DE71EA">
        <w:rPr>
          <w:noProof/>
        </w:rPr>
        <w:t>[</w:t>
      </w:r>
      <w:hyperlink w:anchor="_ENREF_3" w:tooltip="Bellarby, 2009 #408" w:history="1">
        <w:r w:rsidR="00817F40">
          <w:rPr>
            <w:noProof/>
          </w:rPr>
          <w:t>3</w:t>
        </w:r>
      </w:hyperlink>
      <w:r w:rsidR="00DE71EA">
        <w:rPr>
          <w:noProof/>
        </w:rPr>
        <w:t>]</w:t>
      </w:r>
      <w:r w:rsidR="00C84A4C">
        <w:fldChar w:fldCharType="end"/>
      </w:r>
      <w:r>
        <w:t>:</w:t>
      </w:r>
    </w:p>
    <w:p w:rsidR="00DF6F87" w:rsidRDefault="00DF6F87" w:rsidP="00DF6F87">
      <w:pPr>
        <w:pStyle w:val="ListParagraph"/>
        <w:numPr>
          <w:ilvl w:val="0"/>
          <w:numId w:val="3"/>
        </w:numPr>
      </w:pPr>
      <w:r>
        <w:t>Well trajectory and inclination</w:t>
      </w:r>
    </w:p>
    <w:p w:rsidR="00DF6F87" w:rsidRDefault="00DF6F87" w:rsidP="00DF6F87">
      <w:pPr>
        <w:pStyle w:val="ListParagraph"/>
        <w:numPr>
          <w:ilvl w:val="0"/>
          <w:numId w:val="3"/>
        </w:numPr>
      </w:pPr>
      <w:r>
        <w:t>Open hole vs. cased hole</w:t>
      </w:r>
    </w:p>
    <w:p w:rsidR="00DF6F87" w:rsidRDefault="00DF6F87" w:rsidP="00DF6F87">
      <w:pPr>
        <w:pStyle w:val="ListParagraph"/>
        <w:numPr>
          <w:ilvl w:val="0"/>
          <w:numId w:val="3"/>
        </w:numPr>
      </w:pPr>
      <w:r>
        <w:t>Sand control requirement and type of sand control</w:t>
      </w:r>
    </w:p>
    <w:p w:rsidR="00DF6F87" w:rsidRDefault="00DF6F87" w:rsidP="00DF6F87">
      <w:pPr>
        <w:pStyle w:val="ListParagraph"/>
        <w:numPr>
          <w:ilvl w:val="0"/>
          <w:numId w:val="3"/>
        </w:numPr>
      </w:pPr>
      <w:r>
        <w:t>Stimulation requirements</w:t>
      </w:r>
    </w:p>
    <w:p w:rsidR="00DF6F87" w:rsidRDefault="00DF6F87" w:rsidP="00DF6F87">
      <w:pPr>
        <w:pStyle w:val="ListParagraph"/>
        <w:numPr>
          <w:ilvl w:val="0"/>
          <w:numId w:val="3"/>
        </w:numPr>
      </w:pPr>
      <w:r>
        <w:t xml:space="preserve">Single or multi-zone </w:t>
      </w:r>
    </w:p>
    <w:p w:rsidR="00903FB0" w:rsidRDefault="00187F62" w:rsidP="00DF6F87">
      <w:pPr>
        <w:pStyle w:val="ListParagraph"/>
        <w:numPr>
          <w:ilvl w:val="0"/>
          <w:numId w:val="3"/>
        </w:numPr>
      </w:pPr>
      <w:r>
        <w:t xml:space="preserve">Producing </w:t>
      </w:r>
      <w:r w:rsidR="00DF6F87">
        <w:t>or inject</w:t>
      </w:r>
      <w:r w:rsidR="006B3CE1">
        <w:t>ing</w:t>
      </w:r>
      <w:r w:rsidR="008C2B5B">
        <w:t xml:space="preserve"> well</w:t>
      </w:r>
      <w:r w:rsidR="00DF6F87">
        <w:t xml:space="preserve"> </w:t>
      </w:r>
      <w:r w:rsidR="002C0986">
        <w:t xml:space="preserve"> </w:t>
      </w:r>
    </w:p>
    <w:p w:rsidR="00DF6F87" w:rsidRDefault="00DF6F87" w:rsidP="00DF6F87">
      <w:r>
        <w:lastRenderedPageBreak/>
        <w:t xml:space="preserve">In the </w:t>
      </w:r>
      <w:r w:rsidR="003E5089">
        <w:t>p</w:t>
      </w:r>
      <w:r w:rsidR="00187F62">
        <w:t xml:space="preserve">roduction </w:t>
      </w:r>
      <w:r>
        <w:t>completion, key factors include</w:t>
      </w:r>
    </w:p>
    <w:p w:rsidR="00931709" w:rsidRDefault="00931709" w:rsidP="00DF6F87">
      <w:pPr>
        <w:pStyle w:val="ListParagraph"/>
        <w:numPr>
          <w:ilvl w:val="0"/>
          <w:numId w:val="3"/>
        </w:numPr>
      </w:pPr>
      <w:r>
        <w:t>Production thru casing or tubing</w:t>
      </w:r>
    </w:p>
    <w:p w:rsidR="00DF6F87" w:rsidRDefault="00DF6F87" w:rsidP="00DF6F87">
      <w:pPr>
        <w:pStyle w:val="ListParagraph"/>
        <w:numPr>
          <w:ilvl w:val="0"/>
          <w:numId w:val="3"/>
        </w:numPr>
      </w:pPr>
      <w:r>
        <w:t>Artificial lift and type</w:t>
      </w:r>
    </w:p>
    <w:p w:rsidR="00187F62" w:rsidRDefault="00187F62" w:rsidP="00DF6F87">
      <w:pPr>
        <w:pStyle w:val="ListParagraph"/>
        <w:numPr>
          <w:ilvl w:val="0"/>
          <w:numId w:val="3"/>
        </w:numPr>
      </w:pPr>
      <w:r>
        <w:t>Anticipated production rate</w:t>
      </w:r>
    </w:p>
    <w:p w:rsidR="00187F62" w:rsidRDefault="00187F62" w:rsidP="00DF6F87">
      <w:pPr>
        <w:pStyle w:val="ListParagraph"/>
        <w:numPr>
          <w:ilvl w:val="0"/>
          <w:numId w:val="3"/>
        </w:numPr>
      </w:pPr>
      <w:r>
        <w:t>Fluid produced</w:t>
      </w:r>
      <w:r w:rsidR="00931709">
        <w:t xml:space="preserve"> or injected</w:t>
      </w:r>
      <w:r>
        <w:t xml:space="preserve"> </w:t>
      </w:r>
    </w:p>
    <w:p w:rsidR="00B36069" w:rsidRDefault="00931709" w:rsidP="00DF6F87">
      <w:pPr>
        <w:pStyle w:val="ListParagraph"/>
        <w:numPr>
          <w:ilvl w:val="0"/>
          <w:numId w:val="3"/>
        </w:numPr>
      </w:pPr>
      <w:r>
        <w:t xml:space="preserve">Anticipated corrosion resistance </w:t>
      </w:r>
    </w:p>
    <w:p w:rsidR="009567F2" w:rsidRDefault="009567F2" w:rsidP="00DF6F87">
      <w:pPr>
        <w:pStyle w:val="ListParagraph"/>
        <w:numPr>
          <w:ilvl w:val="0"/>
          <w:numId w:val="3"/>
        </w:numPr>
      </w:pPr>
      <w:r>
        <w:t xml:space="preserve">Thermal </w:t>
      </w:r>
      <w:r w:rsidR="00931709">
        <w:t>cycling</w:t>
      </w:r>
    </w:p>
    <w:p w:rsidR="00931709" w:rsidRDefault="00931709" w:rsidP="00DF6F87">
      <w:pPr>
        <w:pStyle w:val="ListParagraph"/>
        <w:numPr>
          <w:ilvl w:val="0"/>
          <w:numId w:val="3"/>
        </w:numPr>
      </w:pPr>
      <w:r>
        <w:t>Single or multiple completion</w:t>
      </w:r>
    </w:p>
    <w:p w:rsidR="00931709" w:rsidRDefault="00931709" w:rsidP="00DF6F87">
      <w:pPr>
        <w:pStyle w:val="ListParagraph"/>
        <w:numPr>
          <w:ilvl w:val="0"/>
          <w:numId w:val="3"/>
        </w:numPr>
      </w:pPr>
      <w:r>
        <w:t>Expected differential pressures</w:t>
      </w:r>
    </w:p>
    <w:p w:rsidR="00DF6F87" w:rsidRDefault="00DF6F87" w:rsidP="007B5179">
      <w:pPr>
        <w:pStyle w:val="ListParagraph"/>
      </w:pPr>
    </w:p>
    <w:p w:rsidR="007F702E" w:rsidRDefault="007F702E" w:rsidP="007F702E">
      <w:pPr>
        <w:pStyle w:val="Heading2"/>
      </w:pPr>
      <w:r>
        <w:t xml:space="preserve">Types of </w:t>
      </w:r>
      <w:r w:rsidR="00931709">
        <w:t>reservoir</w:t>
      </w:r>
      <w:r>
        <w:t xml:space="preserve"> completions</w:t>
      </w:r>
    </w:p>
    <w:p w:rsidR="007F702E" w:rsidRDefault="00562BF0" w:rsidP="007F702E">
      <w:r>
        <w:t xml:space="preserve">The type of completion chosen depends on reservoir characteristics and production requirements.  </w:t>
      </w:r>
      <w:r w:rsidR="007F702E">
        <w:t>There are two basic types of completions</w:t>
      </w:r>
      <w:r>
        <w:t>: open-hole and cased-hole</w:t>
      </w:r>
      <w:r w:rsidR="00D00A3C">
        <w:t>.</w:t>
      </w:r>
    </w:p>
    <w:p w:rsidR="008F024E" w:rsidRDefault="008F024E" w:rsidP="00DA58A4">
      <w:pPr>
        <w:pStyle w:val="Heading3"/>
      </w:pPr>
      <w:r>
        <w:t>Open</w:t>
      </w:r>
      <w:r w:rsidR="00CB22ED">
        <w:t>-h</w:t>
      </w:r>
      <w:r>
        <w:t xml:space="preserve">ole </w:t>
      </w:r>
      <w:r w:rsidR="004A1658">
        <w:t>c</w:t>
      </w:r>
      <w:r>
        <w:t>ompletion</w:t>
      </w:r>
    </w:p>
    <w:p w:rsidR="003E5089" w:rsidRDefault="003E5089" w:rsidP="008F024E">
      <w:r>
        <w:t>An open-hole completion is the most basic type of well completion.  It encompasses several techniques with the commonality being casing does not cross the reservoir.  Although it is the simplest type of completion, it is typically reserved for competent formations capable of withstanding production conditions.  This is more likely to occur in geothermal drilling than oil &amp; gas.</w:t>
      </w:r>
      <w:r w:rsidR="006B3CE1">
        <w:t xml:space="preserve"> </w:t>
      </w:r>
      <w:r>
        <w:t xml:space="preserve"> </w:t>
      </w:r>
      <w:r w:rsidR="00EA14B2">
        <w:t xml:space="preserve">Open-hole completions can be performed in both vertical and horizontal wells.  </w:t>
      </w:r>
      <w:r w:rsidR="00482B73">
        <w:t xml:space="preserve">  </w:t>
      </w:r>
    </w:p>
    <w:p w:rsidR="0046770A" w:rsidRDefault="00CB22ED" w:rsidP="008F024E">
      <w:r>
        <w:t>In</w:t>
      </w:r>
      <w:r w:rsidR="00377DBE">
        <w:t xml:space="preserve"> open-hole completions</w:t>
      </w:r>
      <w:r>
        <w:t xml:space="preserve">, the well is drilled to the top of the formation.  Casing is then run </w:t>
      </w:r>
      <w:r w:rsidR="009501CF">
        <w:t>to the formation without cross</w:t>
      </w:r>
      <w:r w:rsidR="00377DBE">
        <w:t>ing</w:t>
      </w:r>
      <w:r w:rsidR="009501CF">
        <w:t xml:space="preserve"> the reservoir </w:t>
      </w:r>
      <w:r w:rsidR="00AF4713">
        <w:t>(</w:t>
      </w:r>
      <w:r w:rsidR="00AF4713">
        <w:fldChar w:fldCharType="begin"/>
      </w:r>
      <w:r w:rsidR="00AF4713">
        <w:instrText xml:space="preserve"> REF _Ref379268247 \h </w:instrText>
      </w:r>
      <w:r w:rsidR="00AF4713">
        <w:fldChar w:fldCharType="separate"/>
      </w:r>
      <w:r w:rsidR="003129FA">
        <w:t xml:space="preserve">Figure </w:t>
      </w:r>
      <w:r w:rsidR="003129FA">
        <w:rPr>
          <w:noProof/>
        </w:rPr>
        <w:t>1</w:t>
      </w:r>
      <w:r w:rsidR="00AF4713">
        <w:fldChar w:fldCharType="end"/>
      </w:r>
      <w:r w:rsidR="00AF4713">
        <w:t>)</w:t>
      </w:r>
      <w:r w:rsidR="0046770A">
        <w:t xml:space="preserve">.  Produced fluids are allowed to flow directly into the wellbore.  </w:t>
      </w:r>
      <w:r w:rsidR="00377DBE">
        <w:t>Without a liner, t</w:t>
      </w:r>
      <w:r w:rsidR="00125ED8">
        <w:t>his type of completion is also known as a barefoot completion.</w:t>
      </w:r>
      <w:r w:rsidR="0046770A">
        <w:t xml:space="preserve">  </w:t>
      </w:r>
    </w:p>
    <w:p w:rsidR="00C77102" w:rsidRDefault="00C77102" w:rsidP="008F024E">
      <w:r w:rsidRPr="00C77102">
        <w:rPr>
          <w:noProof/>
        </w:rPr>
        <w:drawing>
          <wp:inline distT="0" distB="0" distL="0" distR="0" wp14:anchorId="7697AEC3" wp14:editId="34186D3F">
            <wp:extent cx="3202887" cy="2878015"/>
            <wp:effectExtent l="19050" t="19050" r="17145"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16354"/>
                    <a:stretch/>
                  </pic:blipFill>
                  <pic:spPr bwMode="auto">
                    <a:xfrm>
                      <a:off x="0" y="0"/>
                      <a:ext cx="3200400" cy="2875780"/>
                    </a:xfrm>
                    <a:prstGeom prst="rect">
                      <a:avLst/>
                    </a:prstGeom>
                    <a:noFill/>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6770A" w:rsidRDefault="0046770A" w:rsidP="0046770A">
      <w:pPr>
        <w:pStyle w:val="Caption"/>
        <w:rPr>
          <w:noProof/>
        </w:rPr>
      </w:pPr>
      <w:bookmarkStart w:id="1" w:name="_Ref379268247"/>
      <w:proofErr w:type="gramStart"/>
      <w:r>
        <w:t xml:space="preserve">Figure </w:t>
      </w:r>
      <w:r w:rsidR="00D14AFE">
        <w:fldChar w:fldCharType="begin"/>
      </w:r>
      <w:r w:rsidR="00D14AFE">
        <w:instrText xml:space="preserve"> SEQ Figure \* ARABIC </w:instrText>
      </w:r>
      <w:r w:rsidR="00D14AFE">
        <w:fldChar w:fldCharType="separate"/>
      </w:r>
      <w:r w:rsidR="003129FA">
        <w:rPr>
          <w:noProof/>
        </w:rPr>
        <w:t>1</w:t>
      </w:r>
      <w:r w:rsidR="00D14AFE">
        <w:rPr>
          <w:noProof/>
        </w:rPr>
        <w:fldChar w:fldCharType="end"/>
      </w:r>
      <w:bookmarkEnd w:id="1"/>
      <w:r>
        <w:t>.</w:t>
      </w:r>
      <w:proofErr w:type="gramEnd"/>
      <w:r>
        <w:rPr>
          <w:noProof/>
        </w:rPr>
        <w:t xml:space="preserve">  </w:t>
      </w:r>
      <w:r w:rsidR="007C3F7A">
        <w:rPr>
          <w:noProof/>
        </w:rPr>
        <w:t>Barefoot o</w:t>
      </w:r>
      <w:r>
        <w:rPr>
          <w:noProof/>
        </w:rPr>
        <w:t>pen</w:t>
      </w:r>
      <w:r w:rsidR="007C3F7A">
        <w:rPr>
          <w:noProof/>
        </w:rPr>
        <w:t>-</w:t>
      </w:r>
      <w:r>
        <w:rPr>
          <w:noProof/>
        </w:rPr>
        <w:t>hole completion illustration</w:t>
      </w:r>
    </w:p>
    <w:p w:rsidR="0063743E" w:rsidRDefault="003E5089" w:rsidP="007C3F7A">
      <w:r>
        <w:lastRenderedPageBreak/>
        <w:t>T</w:t>
      </w:r>
      <w:r w:rsidR="0063743E">
        <w:t xml:space="preserve">he barefoot technique </w:t>
      </w:r>
      <w:r>
        <w:t>does have</w:t>
      </w:r>
      <w:r w:rsidR="0063743E">
        <w:t xml:space="preserve"> some limitations.  Zonal isolation</w:t>
      </w:r>
      <w:r w:rsidR="00DE7659">
        <w:t xml:space="preserve"> during production or injection operations is</w:t>
      </w:r>
      <w:r w:rsidR="0078472D">
        <w:t xml:space="preserve"> more challenging </w:t>
      </w:r>
      <w:r w:rsidR="00DE7659">
        <w:t xml:space="preserve">and reservoir </w:t>
      </w:r>
      <w:r w:rsidR="0063743E">
        <w:t xml:space="preserve">and fracturing stimulation </w:t>
      </w:r>
      <w:r w:rsidR="00DE7659">
        <w:t>options are limited to the use of open</w:t>
      </w:r>
      <w:r w:rsidR="00B36069">
        <w:t>-</w:t>
      </w:r>
      <w:r w:rsidR="00DE7659">
        <w:t>hole packers (sometimes not feasible) or possibly diverter based technologies.</w:t>
      </w:r>
      <w:r w:rsidR="0063743E">
        <w:t xml:space="preserve">  Additionally, controlling flow of fluids from the formation can be difficult.</w:t>
      </w:r>
    </w:p>
    <w:p w:rsidR="007C3F7A" w:rsidRDefault="00045518" w:rsidP="007C3F7A">
      <w:r>
        <w:t xml:space="preserve">Another type of open-hole completion is </w:t>
      </w:r>
      <w:r w:rsidR="00E272D1">
        <w:t xml:space="preserve">a </w:t>
      </w:r>
      <w:r w:rsidR="00275BB1">
        <w:t>liner completion (</w:t>
      </w:r>
      <w:r w:rsidR="00275BB1">
        <w:fldChar w:fldCharType="begin"/>
      </w:r>
      <w:r w:rsidR="00275BB1">
        <w:instrText xml:space="preserve"> REF _Ref379277919 \h </w:instrText>
      </w:r>
      <w:r w:rsidR="00275BB1">
        <w:fldChar w:fldCharType="separate"/>
      </w:r>
      <w:r w:rsidR="003129FA">
        <w:t xml:space="preserve">Figure </w:t>
      </w:r>
      <w:r w:rsidR="003129FA">
        <w:rPr>
          <w:noProof/>
        </w:rPr>
        <w:t>2</w:t>
      </w:r>
      <w:r w:rsidR="00275BB1">
        <w:fldChar w:fldCharType="end"/>
      </w:r>
      <w:r w:rsidR="00275BB1">
        <w:t>).</w:t>
      </w:r>
      <w:r w:rsidR="00DA58A4">
        <w:t xml:space="preserve">  </w:t>
      </w:r>
      <w:r w:rsidR="00EA14B2">
        <w:t xml:space="preserve">It is used in deep well completions where formation collapse is an issue.  </w:t>
      </w:r>
      <w:r w:rsidR="00DA58A4">
        <w:t xml:space="preserve">A liner is a string of casing that does not reach the surface.  It is hung from </w:t>
      </w:r>
      <w:r w:rsidR="00E272D1">
        <w:t xml:space="preserve">a </w:t>
      </w:r>
      <w:r w:rsidR="00DA58A4">
        <w:t>previous</w:t>
      </w:r>
      <w:r w:rsidR="00E272D1">
        <w:t xml:space="preserve">ly installed </w:t>
      </w:r>
      <w:r w:rsidR="00DA58A4">
        <w:t>casing string using a liner hanger.</w:t>
      </w:r>
      <w:r w:rsidR="00275BB1">
        <w:t xml:space="preserve">  U</w:t>
      </w:r>
      <w:r w:rsidR="00377DBE">
        <w:t>tilizing pre-drilled or slotted liners in the formation</w:t>
      </w:r>
      <w:r w:rsidR="00275BB1">
        <w:t xml:space="preserve">, this completion technique provides additional formation control in the production zone.  </w:t>
      </w:r>
      <w:r w:rsidR="00377DBE">
        <w:t xml:space="preserve"> </w:t>
      </w:r>
      <w:r w:rsidR="0063743E">
        <w:t xml:space="preserve">The liner </w:t>
      </w:r>
      <w:r w:rsidR="00D35F79">
        <w:t xml:space="preserve">can be used in conjunction with </w:t>
      </w:r>
      <w:r w:rsidR="00DE7659">
        <w:t xml:space="preserve">external casing </w:t>
      </w:r>
      <w:r w:rsidR="00D35F79">
        <w:t xml:space="preserve">packers to provide zonal isolation.  </w:t>
      </w:r>
      <w:r w:rsidR="00275BB1">
        <w:t xml:space="preserve">The liner also </w:t>
      </w:r>
      <w:r w:rsidR="00482B73">
        <w:t xml:space="preserve">provides support to prevent </w:t>
      </w:r>
      <w:r w:rsidR="003C0691">
        <w:t xml:space="preserve">formation </w:t>
      </w:r>
      <w:r w:rsidR="00482B73">
        <w:t>collapse and</w:t>
      </w:r>
      <w:r w:rsidR="0063743E">
        <w:t xml:space="preserve"> allow</w:t>
      </w:r>
      <w:r w:rsidR="00482B73">
        <w:t>s</w:t>
      </w:r>
      <w:r w:rsidR="0063743E">
        <w:t xml:space="preserve"> zonal isolation packers to be deployed</w:t>
      </w:r>
      <w:r w:rsidR="00482B73">
        <w:t xml:space="preserve">.  Generally, pre-drilled liners are preferred over pre-slotted liners because of the larger inflow area and higher strength </w:t>
      </w:r>
      <w:r w:rsidR="00C74715">
        <w:fldChar w:fldCharType="begin"/>
      </w:r>
      <w:r w:rsidR="00DE71EA">
        <w:instrText xml:space="preserve"> ADDIN EN.CITE &lt;EndNote&gt;&lt;Cite ExcludeYear="1"&gt;&lt;Author&gt;Bellarby&lt;/Author&gt;&lt;RecNum&gt;408&lt;/RecNum&gt;&lt;DisplayText&gt;[3]&lt;/DisplayText&gt;&lt;record&gt;&lt;rec-number&gt;408&lt;/rec-number&gt;&lt;foreign-keys&gt;&lt;key app="EN" db-id="rwzxp2sses9f5deexw8xe0tjf5f2wep0epv9"&gt;408&lt;/key&gt;&lt;/foreign-keys&gt;&lt;ref-type name="Book"&gt;6&lt;/ref-type&gt;&lt;contributors&gt;&lt;authors&gt;&lt;author&gt;Bellarby, Jonathan&lt;/author&gt;&lt;/authors&gt;&lt;/contributors&gt;&lt;titles&gt;&lt;title&gt;Well completion design&lt;/title&gt;&lt;secondary-title&gt;Developments in petroleum science,&lt;/secondary-title&gt;&lt;/titles&gt;&lt;pages&gt;xiii, 711 p.&lt;/pages&gt;&lt;number&gt;56&lt;/number&gt;&lt;edition&gt;1st&lt;/edition&gt;&lt;keywords&gt;&lt;keyword&gt;Oil well completion.&lt;/keyword&gt;&lt;/keywords&gt;&lt;dates&gt;&lt;year&gt;2009&lt;/year&gt;&lt;/dates&gt;&lt;pub-location&gt;Amsterdam, Netherlands ; Boston, Mass.&lt;/pub-location&gt;&lt;publisher&gt;Elsevier&lt;/publisher&gt;&lt;isbn&gt;9780444532107&amp;#xD;0444532102&amp;#xD;0376-7361 ;&lt;/isbn&gt;&lt;accession-num&gt;17200805&lt;/accession-num&gt;&lt;call-num&gt;Jefferson or Adams Building Reading Rooms TN871.2; .B45 2009&lt;/call-num&gt;&lt;urls&gt;&lt;/urls&gt;&lt;/record&gt;&lt;/Cite&gt;&lt;/EndNote&gt;</w:instrText>
      </w:r>
      <w:r w:rsidR="00C74715">
        <w:fldChar w:fldCharType="separate"/>
      </w:r>
      <w:r w:rsidR="00DE71EA">
        <w:rPr>
          <w:noProof/>
        </w:rPr>
        <w:t>[</w:t>
      </w:r>
      <w:hyperlink w:anchor="_ENREF_3" w:tooltip="Bellarby, 2009 #408" w:history="1">
        <w:r w:rsidR="00817F40">
          <w:rPr>
            <w:noProof/>
          </w:rPr>
          <w:t>3</w:t>
        </w:r>
      </w:hyperlink>
      <w:r w:rsidR="00DE71EA">
        <w:rPr>
          <w:noProof/>
        </w:rPr>
        <w:t>]</w:t>
      </w:r>
      <w:r w:rsidR="00C74715">
        <w:fldChar w:fldCharType="end"/>
      </w:r>
      <w:r w:rsidR="00482B73">
        <w:t xml:space="preserve">. </w:t>
      </w:r>
      <w:r w:rsidR="003C0691">
        <w:t xml:space="preserve"> The use of slotted liners i</w:t>
      </w:r>
      <w:r w:rsidR="00EA14B2">
        <w:t>s</w:t>
      </w:r>
      <w:r w:rsidR="003C0691">
        <w:t xml:space="preserve"> common in geothermal comp</w:t>
      </w:r>
      <w:r w:rsidR="00EA14B2">
        <w:t>l</w:t>
      </w:r>
      <w:r w:rsidR="003C0691">
        <w:t>etions.</w:t>
      </w:r>
      <w:r w:rsidR="00482B73">
        <w:t xml:space="preserve"> </w:t>
      </w:r>
      <w:r w:rsidR="0063743E">
        <w:t xml:space="preserve"> </w:t>
      </w:r>
    </w:p>
    <w:p w:rsidR="0063743E" w:rsidRPr="001146A3" w:rsidRDefault="0063743E" w:rsidP="0063743E">
      <w:r w:rsidRPr="001146A3">
        <w:rPr>
          <w:noProof/>
        </w:rPr>
        <w:drawing>
          <wp:inline distT="0" distB="0" distL="0" distR="0" wp14:anchorId="6B6A64C7" wp14:editId="6BA919E8">
            <wp:extent cx="3235569" cy="3474241"/>
            <wp:effectExtent l="19050" t="19050" r="2222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2514" cy="3481699"/>
                    </a:xfrm>
                    <a:prstGeom prst="rect">
                      <a:avLst/>
                    </a:prstGeom>
                    <a:noFill/>
                    <a:ln>
                      <a:solidFill>
                        <a:schemeClr val="tx2"/>
                      </a:solidFill>
                    </a:ln>
                  </pic:spPr>
                </pic:pic>
              </a:graphicData>
            </a:graphic>
          </wp:inline>
        </w:drawing>
      </w:r>
    </w:p>
    <w:p w:rsidR="0063743E" w:rsidRPr="008F024E" w:rsidRDefault="0063743E" w:rsidP="0063743E">
      <w:pPr>
        <w:pStyle w:val="Caption"/>
      </w:pPr>
      <w:bookmarkStart w:id="2" w:name="_Ref379277919"/>
      <w:proofErr w:type="gramStart"/>
      <w:r>
        <w:t xml:space="preserve">Figure </w:t>
      </w:r>
      <w:r w:rsidR="00D14AFE">
        <w:fldChar w:fldCharType="begin"/>
      </w:r>
      <w:r w:rsidR="00D14AFE">
        <w:instrText xml:space="preserve"> SEQ Figure \* ARABIC </w:instrText>
      </w:r>
      <w:r w:rsidR="00D14AFE">
        <w:fldChar w:fldCharType="separate"/>
      </w:r>
      <w:r w:rsidR="003129FA">
        <w:rPr>
          <w:noProof/>
        </w:rPr>
        <w:t>2</w:t>
      </w:r>
      <w:r w:rsidR="00D14AFE">
        <w:rPr>
          <w:noProof/>
        </w:rPr>
        <w:fldChar w:fldCharType="end"/>
      </w:r>
      <w:bookmarkEnd w:id="2"/>
      <w:r>
        <w:t>.</w:t>
      </w:r>
      <w:proofErr w:type="gramEnd"/>
      <w:r>
        <w:t xml:space="preserve">  Slotted liner completion</w:t>
      </w:r>
    </w:p>
    <w:p w:rsidR="009501CF" w:rsidRDefault="00CB22ED" w:rsidP="00DA58A4">
      <w:pPr>
        <w:pStyle w:val="Heading3"/>
      </w:pPr>
      <w:r>
        <w:t xml:space="preserve">Cased-hole </w:t>
      </w:r>
      <w:r w:rsidR="004A1658">
        <w:t>c</w:t>
      </w:r>
      <w:r w:rsidR="009501CF">
        <w:t>ompletion</w:t>
      </w:r>
      <w:r w:rsidR="00473C02">
        <w:t xml:space="preserve">  </w:t>
      </w:r>
    </w:p>
    <w:p w:rsidR="004110B4" w:rsidRPr="004110B4" w:rsidRDefault="004110B4" w:rsidP="004110B4">
      <w:r>
        <w:t>Cased-hole completion differs from open-hole completions in that casing is run through the production zone</w:t>
      </w:r>
      <w:r w:rsidR="00D00A3C">
        <w:t xml:space="preserve"> and cemented in place</w:t>
      </w:r>
      <w:r>
        <w:t>.</w:t>
      </w:r>
      <w:r w:rsidR="00CE4926">
        <w:t xml:space="preserve">  The casing is selectively perforated </w:t>
      </w:r>
      <w:r w:rsidR="00D00A3C">
        <w:t xml:space="preserve">using a perforator </w:t>
      </w:r>
      <w:r w:rsidR="003C0691">
        <w:t xml:space="preserve">(commonly an explosive shaped charge) </w:t>
      </w:r>
      <w:r w:rsidR="00CE4926">
        <w:t xml:space="preserve">to connect the formation to the casing </w:t>
      </w:r>
      <w:r w:rsidR="00045518">
        <w:t>(</w:t>
      </w:r>
      <w:r w:rsidR="00CE4926">
        <w:fldChar w:fldCharType="begin"/>
      </w:r>
      <w:r w:rsidR="00CE4926">
        <w:instrText xml:space="preserve"> REF _Ref379285144 \h </w:instrText>
      </w:r>
      <w:r w:rsidR="00CE4926">
        <w:fldChar w:fldCharType="separate"/>
      </w:r>
      <w:r w:rsidR="003129FA">
        <w:t xml:space="preserve">Figure </w:t>
      </w:r>
      <w:r w:rsidR="003129FA">
        <w:rPr>
          <w:noProof/>
        </w:rPr>
        <w:t>3</w:t>
      </w:r>
      <w:r w:rsidR="00CE4926">
        <w:fldChar w:fldCharType="end"/>
      </w:r>
      <w:r w:rsidR="00045518">
        <w:t>)</w:t>
      </w:r>
      <w:r w:rsidR="00CE4926">
        <w:t>.</w:t>
      </w:r>
      <w:r w:rsidR="00D00A3C">
        <w:t xml:space="preserve">  The perforator penetrates the production casing and the cement sheath and creates a channel to allow the reservoir to produce into the well </w:t>
      </w:r>
      <w:r w:rsidR="00D00A3C">
        <w:fldChar w:fldCharType="begin"/>
      </w:r>
      <w:r w:rsidR="00D00A3C">
        <w:instrText xml:space="preserve"> ADDIN EN.CITE &lt;EndNote&gt;&lt;Cite&gt;&lt;Author&gt;Wan&lt;/Author&gt;&lt;Year&gt;2011&lt;/Year&gt;&lt;RecNum&gt;407&lt;/RecNum&gt;&lt;DisplayText&gt;[1]&lt;/DisplayText&gt;&lt;record&gt;&lt;rec-number&gt;407&lt;/rec-number&gt;&lt;foreign-keys&gt;&lt;key app="EN" db-id="rwzxp2sses9f5deexw8xe0tjf5f2wep0epv9"&gt;407&lt;/key&gt;&lt;/foreign-keys&gt;&lt;ref-type name="Book"&gt;6&lt;/ref-type&gt;&lt;contributors&gt;&lt;authors&gt;&lt;author&gt;Wan, Renpu&lt;/author&gt;&lt;/authors&gt;&lt;/contributors&gt;&lt;titles&gt;&lt;title&gt;Advanced well completion engineering&lt;/title&gt;&lt;/titles&gt;&lt;pages&gt;xx, 715 p.&lt;/pages&gt;&lt;edition&gt;3rd&lt;/edition&gt;&lt;keywords&gt;&lt;keyword&gt;Oil well completion.&lt;/keyword&gt;&lt;/keywords&gt;&lt;dates&gt;&lt;year&gt;2011&lt;/year&gt;&lt;/dates&gt;&lt;pub-location&gt;Waltham, MA&lt;/pub-location&gt;&lt;publisher&gt;Gulf Professional Pub.&lt;/publisher&gt;&lt;isbn&gt;9780123858689 (alk. paper)&lt;/isbn&gt;&lt;accession-num&gt;16677742&lt;/accession-num&gt;&lt;call-num&gt;Jefferson or Adams Building Reading Rooms TN871.2; .R384 2011&lt;/call-num&gt;&lt;urls&gt;&lt;/urls&gt;&lt;/record&gt;&lt;/Cite&gt;&lt;/EndNote&gt;</w:instrText>
      </w:r>
      <w:r w:rsidR="00D00A3C">
        <w:fldChar w:fldCharType="separate"/>
      </w:r>
      <w:r w:rsidR="00D00A3C">
        <w:rPr>
          <w:noProof/>
        </w:rPr>
        <w:t>[</w:t>
      </w:r>
      <w:hyperlink w:anchor="_ENREF_1" w:tooltip="Wan, 2011 #407" w:history="1">
        <w:r w:rsidR="00817F40">
          <w:rPr>
            <w:noProof/>
          </w:rPr>
          <w:t>1</w:t>
        </w:r>
      </w:hyperlink>
      <w:r w:rsidR="00D00A3C">
        <w:rPr>
          <w:noProof/>
        </w:rPr>
        <w:t>]</w:t>
      </w:r>
      <w:r w:rsidR="00D00A3C">
        <w:fldChar w:fldCharType="end"/>
      </w:r>
      <w:r w:rsidR="00D00A3C">
        <w:t>.</w:t>
      </w:r>
      <w:r w:rsidR="00CE4926">
        <w:t xml:space="preserve"> </w:t>
      </w:r>
      <w:r>
        <w:t xml:space="preserve">  </w:t>
      </w:r>
    </w:p>
    <w:p w:rsidR="009501CF" w:rsidRDefault="009501CF" w:rsidP="009501CF">
      <w:r>
        <w:lastRenderedPageBreak/>
        <w:t xml:space="preserve">This type of completion provides advantages in zonal isolation.  A fully cemented production zone allows more homogeneous flow of fluids along the wellbore </w:t>
      </w:r>
      <w:r>
        <w:fldChar w:fldCharType="begin"/>
      </w:r>
      <w:r w:rsidR="00DE71EA">
        <w:instrText xml:space="preserve"> ADDIN EN.CITE &lt;EndNote&gt;&lt;Cite&gt;&lt;Author&gt;Kinzel&lt;/Author&gt;&lt;Year&gt;1998&lt;/Year&gt;&lt;RecNum&gt;424&lt;/RecNum&gt;&lt;DisplayText&gt;[4]&lt;/DisplayText&gt;&lt;record&gt;&lt;rec-number&gt;424&lt;/rec-number&gt;&lt;foreign-keys&gt;&lt;key app="EN" db-id="rwzxp2sses9f5deexw8xe0tjf5f2wep0epv9"&gt;424&lt;/key&gt;&lt;/foreign-keys&gt;&lt;ref-type name="Conference Paper"&gt;47&lt;/ref-type&gt;&lt;contributors&gt;&lt;authors&gt;&lt;author&gt;Kinzel, Holger&lt;/author&gt;&lt;author&gt;Martens, James G.&lt;/author&gt;&lt;/authors&gt;&lt;/contributors&gt;&lt;titles&gt;&lt;title&gt;The Application of New Centralizer Types to Improve Zone Isolation in Horizontal Wells&lt;/title&gt;&lt;secondary-title&gt;SPE International Oil and Gas Conference and Exhibition in China,&lt;/secondary-title&gt;&lt;/titles&gt;&lt;number&gt;SPE-50438-MS&lt;/number&gt;&lt;dates&gt;&lt;year&gt;1998&lt;/year&gt;&lt;/dates&gt;&lt;pub-location&gt;Beijing, China&lt;/pub-location&gt;&lt;publisher&gt;Society of Petroleum Engineers&lt;/publisher&gt;&lt;urls&gt;&lt;/urls&gt;&lt;electronic-resource-num&gt;http://dx.doi.org/10.2118/50438-MS&lt;/electronic-resource-num&gt;&lt;/record&gt;&lt;/Cite&gt;&lt;/EndNote&gt;</w:instrText>
      </w:r>
      <w:r>
        <w:fldChar w:fldCharType="separate"/>
      </w:r>
      <w:r w:rsidR="00DE71EA">
        <w:rPr>
          <w:noProof/>
        </w:rPr>
        <w:t>[</w:t>
      </w:r>
      <w:hyperlink w:anchor="_ENREF_4" w:tooltip="Kinzel, 1998 #424" w:history="1">
        <w:r w:rsidR="00817F40">
          <w:rPr>
            <w:noProof/>
          </w:rPr>
          <w:t>4</w:t>
        </w:r>
      </w:hyperlink>
      <w:r w:rsidR="00DE71EA">
        <w:rPr>
          <w:noProof/>
        </w:rPr>
        <w:t>]</w:t>
      </w:r>
      <w:r>
        <w:fldChar w:fldCharType="end"/>
      </w:r>
      <w:r>
        <w:t>.  It also permits selected shutoff of unwanted flow.  It is also useful for selective hydraulic fracturing and acidizing.</w:t>
      </w:r>
    </w:p>
    <w:p w:rsidR="009501CF" w:rsidRDefault="009501CF" w:rsidP="009501CF">
      <w:r w:rsidRPr="00C77102">
        <w:rPr>
          <w:noProof/>
        </w:rPr>
        <w:drawing>
          <wp:inline distT="0" distB="0" distL="0" distR="0" wp14:anchorId="5153BD9C" wp14:editId="149DEBE8">
            <wp:extent cx="3200400" cy="3442829"/>
            <wp:effectExtent l="19050" t="19050" r="1905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3442829"/>
                    </a:xfrm>
                    <a:prstGeom prst="rect">
                      <a:avLst/>
                    </a:prstGeom>
                    <a:noFill/>
                    <a:ln>
                      <a:solidFill>
                        <a:schemeClr val="tx2"/>
                      </a:solidFill>
                    </a:ln>
                  </pic:spPr>
                </pic:pic>
              </a:graphicData>
            </a:graphic>
          </wp:inline>
        </w:drawing>
      </w:r>
    </w:p>
    <w:p w:rsidR="009501CF" w:rsidRDefault="009501CF" w:rsidP="009501CF">
      <w:pPr>
        <w:pStyle w:val="Caption"/>
      </w:pPr>
      <w:bookmarkStart w:id="3" w:name="_Ref379285144"/>
      <w:proofErr w:type="gramStart"/>
      <w:r>
        <w:t xml:space="preserve">Figure </w:t>
      </w:r>
      <w:r w:rsidR="00D14AFE">
        <w:fldChar w:fldCharType="begin"/>
      </w:r>
      <w:r w:rsidR="00D14AFE">
        <w:instrText xml:space="preserve"> SEQ Figure \* ARABIC </w:instrText>
      </w:r>
      <w:r w:rsidR="00D14AFE">
        <w:fldChar w:fldCharType="separate"/>
      </w:r>
      <w:r w:rsidR="003129FA">
        <w:rPr>
          <w:noProof/>
        </w:rPr>
        <w:t>3</w:t>
      </w:r>
      <w:r w:rsidR="00D14AFE">
        <w:rPr>
          <w:noProof/>
        </w:rPr>
        <w:fldChar w:fldCharType="end"/>
      </w:r>
      <w:bookmarkEnd w:id="3"/>
      <w:r>
        <w:t>.</w:t>
      </w:r>
      <w:proofErr w:type="gramEnd"/>
      <w:r>
        <w:t xml:space="preserve">  Perforated casing completion</w:t>
      </w:r>
    </w:p>
    <w:p w:rsidR="00045518" w:rsidRDefault="00045518" w:rsidP="00045518">
      <w:r>
        <w:t>The most obvious drawback to perforated casing completion is the increased costs associated with running casing to the production zone.  This can be significant when working in high angles or long intervals.</w:t>
      </w:r>
      <w:r w:rsidR="00D00A3C">
        <w:t xml:space="preserve">  </w:t>
      </w:r>
      <w:r w:rsidR="00BE0906">
        <w:t>A drawback when working with hydrothermal systems is that cementing across production zones is difficult and would cut off the desired working fluid.  Additionally, the high flow rates required in those systems are susceptible to flow restrictions from the perforations.</w:t>
      </w:r>
    </w:p>
    <w:p w:rsidR="009501CF" w:rsidRDefault="009501CF" w:rsidP="009501CF">
      <w:r>
        <w:t xml:space="preserve">A variation on the casing perforation is liner perforation.  In this method, a liner is hung from the intermediate casing and then cemented and perforated.  Perforated liner completion takes advantage of the seal created by the intermediate casing.  The overall weight of the casing string and volume of cement can be reduced, thus decreasing completion cost.  This is a common completion technique for medium or low pressure deep oil and gas wells </w:t>
      </w:r>
      <w:r>
        <w:fldChar w:fldCharType="begin"/>
      </w:r>
      <w:r>
        <w:instrText xml:space="preserve"> ADDIN EN.CITE &lt;EndNote&gt;&lt;Cite&gt;&lt;Author&gt;Wan&lt;/Author&gt;&lt;Year&gt;2011&lt;/Year&gt;&lt;RecNum&gt;407&lt;/RecNum&gt;&lt;DisplayText&gt;[1]&lt;/DisplayText&gt;&lt;record&gt;&lt;rec-number&gt;407&lt;/rec-number&gt;&lt;foreign-keys&gt;&lt;key app="EN" db-id="rwzxp2sses9f5deexw8xe0tjf5f2wep0epv9"&gt;407&lt;/key&gt;&lt;/foreign-keys&gt;&lt;ref-type name="Book"&gt;6&lt;/ref-type&gt;&lt;contributors&gt;&lt;authors&gt;&lt;author&gt;Wan, Renpu&lt;/author&gt;&lt;/authors&gt;&lt;/contributors&gt;&lt;titles&gt;&lt;title&gt;Advanced well completion engineering&lt;/title&gt;&lt;/titles&gt;&lt;pages&gt;xx, 715 p.&lt;/pages&gt;&lt;edition&gt;3rd&lt;/edition&gt;&lt;keywords&gt;&lt;keyword&gt;Oil well completion.&lt;/keyword&gt;&lt;/keywords&gt;&lt;dates&gt;&lt;year&gt;2011&lt;/year&gt;&lt;/dates&gt;&lt;pub-location&gt;Waltham, MA&lt;/pub-location&gt;&lt;publisher&gt;Gulf Professional Pub.&lt;/publisher&gt;&lt;isbn&gt;9780123858689 (alk. paper)&lt;/isbn&gt;&lt;accession-num&gt;16677742&lt;/accession-num&gt;&lt;call-num&gt;Jefferson or Adams Building Reading Rooms TN871.2; .R384 2011&lt;/call-num&gt;&lt;urls&gt;&lt;/urls&gt;&lt;/record&gt;&lt;/Cite&gt;&lt;/EndNote&gt;</w:instrText>
      </w:r>
      <w:r>
        <w:fldChar w:fldCharType="separate"/>
      </w:r>
      <w:r>
        <w:rPr>
          <w:noProof/>
        </w:rPr>
        <w:t>[</w:t>
      </w:r>
      <w:hyperlink w:anchor="_ENREF_1" w:tooltip="Wan, 2011 #407" w:history="1">
        <w:r w:rsidR="00817F40">
          <w:rPr>
            <w:noProof/>
          </w:rPr>
          <w:t>1</w:t>
        </w:r>
      </w:hyperlink>
      <w:r>
        <w:rPr>
          <w:noProof/>
        </w:rPr>
        <w:t>]</w:t>
      </w:r>
      <w:r>
        <w:fldChar w:fldCharType="end"/>
      </w:r>
      <w:r>
        <w:t>.</w:t>
      </w:r>
    </w:p>
    <w:p w:rsidR="00045518" w:rsidRDefault="00BE0906" w:rsidP="009501CF">
      <w:r>
        <w:t>In both techniques, p</w:t>
      </w:r>
      <w:r w:rsidR="00045518">
        <w:t>erforations are performed using shape</w:t>
      </w:r>
      <w:r w:rsidR="00734142">
        <w:t>d</w:t>
      </w:r>
      <w:r w:rsidR="00045518">
        <w:t xml:space="preserve"> charges</w:t>
      </w:r>
      <w:r w:rsidR="006370AA">
        <w:t xml:space="preserve"> (</w:t>
      </w:r>
      <w:r w:rsidR="006370AA">
        <w:fldChar w:fldCharType="begin"/>
      </w:r>
      <w:r w:rsidR="006370AA">
        <w:instrText xml:space="preserve"> REF _Ref379289265 \h </w:instrText>
      </w:r>
      <w:r w:rsidR="006370AA">
        <w:fldChar w:fldCharType="separate"/>
      </w:r>
      <w:r w:rsidR="003129FA">
        <w:t xml:space="preserve">Figure </w:t>
      </w:r>
      <w:r w:rsidR="003129FA">
        <w:rPr>
          <w:noProof/>
        </w:rPr>
        <w:t>4</w:t>
      </w:r>
      <w:r w:rsidR="006370AA">
        <w:fldChar w:fldCharType="end"/>
      </w:r>
      <w:r w:rsidR="006370AA">
        <w:t>)</w:t>
      </w:r>
      <w:r w:rsidR="00045518">
        <w:t>.</w:t>
      </w:r>
      <w:r w:rsidR="006370AA">
        <w:t xml:space="preserve">  The charge creates a high pressure focused jet that penetrates the casing.  The shape</w:t>
      </w:r>
      <w:r w:rsidR="00DC623A">
        <w:t>d</w:t>
      </w:r>
      <w:r w:rsidR="006370AA">
        <w:t xml:space="preserve"> charges are arranged inside a perforation gun to create a desired pattern.  The pressure pulse deforms the casing and crushes the cement and formation.  </w:t>
      </w:r>
      <w:r w:rsidR="000C027A">
        <w:t xml:space="preserve">Pressures generated by the pulse can reach 15 million psi </w:t>
      </w:r>
      <w:r w:rsidR="00C74715">
        <w:fldChar w:fldCharType="begin"/>
      </w:r>
      <w:r w:rsidR="00DE71EA">
        <w:instrText xml:space="preserve"> ADDIN EN.CITE &lt;EndNote&gt;&lt;Cite ExcludeYear="1"&gt;&lt;Author&gt;Bellarby&lt;/Author&gt;&lt;RecNum&gt;408&lt;/RecNum&gt;&lt;DisplayText&gt;[3]&lt;/DisplayText&gt;&lt;record&gt;&lt;rec-number&gt;408&lt;/rec-number&gt;&lt;foreign-keys&gt;&lt;key app="EN" db-id="rwzxp2sses9f5deexw8xe0tjf5f2wep0epv9"&gt;408&lt;/key&gt;&lt;/foreign-keys&gt;&lt;ref-type name="Book"&gt;6&lt;/ref-type&gt;&lt;contributors&gt;&lt;authors&gt;&lt;author&gt;Bellarby, Jonathan&lt;/author&gt;&lt;/authors&gt;&lt;/contributors&gt;&lt;titles&gt;&lt;title&gt;Well completion design&lt;/title&gt;&lt;secondary-title&gt;Developments in petroleum science,&lt;/secondary-title&gt;&lt;/titles&gt;&lt;pages&gt;xiii, 711 p.&lt;/pages&gt;&lt;number&gt;56&lt;/number&gt;&lt;edition&gt;1st&lt;/edition&gt;&lt;keywords&gt;&lt;keyword&gt;Oil well completion.&lt;/keyword&gt;&lt;/keywords&gt;&lt;dates&gt;&lt;year&gt;2009&lt;/year&gt;&lt;/dates&gt;&lt;pub-location&gt;Amsterdam, Netherlands ; Boston, Mass.&lt;/pub-location&gt;&lt;publisher&gt;Elsevier&lt;/publisher&gt;&lt;isbn&gt;9780444532107&amp;#xD;0444532102&amp;#xD;0376-7361 ;&lt;/isbn&gt;&lt;accession-num&gt;17200805&lt;/accession-num&gt;&lt;call-num&gt;Jefferson or Adams Building Reading Rooms TN871.2; .B45 2009&lt;/call-num&gt;&lt;urls&gt;&lt;/urls&gt;&lt;/record&gt;&lt;/Cite&gt;&lt;/EndNote&gt;</w:instrText>
      </w:r>
      <w:r w:rsidR="00C74715">
        <w:fldChar w:fldCharType="separate"/>
      </w:r>
      <w:r w:rsidR="00DE71EA">
        <w:rPr>
          <w:noProof/>
        </w:rPr>
        <w:t>[</w:t>
      </w:r>
      <w:hyperlink w:anchor="_ENREF_3" w:tooltip="Bellarby, 2009 #408" w:history="1">
        <w:r w:rsidR="00817F40">
          <w:rPr>
            <w:noProof/>
          </w:rPr>
          <w:t>3</w:t>
        </w:r>
      </w:hyperlink>
      <w:r w:rsidR="00DE71EA">
        <w:rPr>
          <w:noProof/>
        </w:rPr>
        <w:t>]</w:t>
      </w:r>
      <w:r w:rsidR="00C74715">
        <w:fldChar w:fldCharType="end"/>
      </w:r>
      <w:r w:rsidR="000C027A">
        <w:t xml:space="preserve">.  </w:t>
      </w:r>
      <w:r w:rsidR="006370AA">
        <w:t>Debris generated in the vicinity of the charge must be removed afterwards.</w:t>
      </w:r>
      <w:r w:rsidR="00045518">
        <w:t xml:space="preserve">  </w:t>
      </w:r>
    </w:p>
    <w:p w:rsidR="006370AA" w:rsidRDefault="006370AA" w:rsidP="009501CF">
      <w:r w:rsidRPr="006370AA">
        <w:rPr>
          <w:noProof/>
        </w:rPr>
        <w:lastRenderedPageBreak/>
        <w:drawing>
          <wp:inline distT="0" distB="0" distL="0" distR="0" wp14:anchorId="096FDBC8" wp14:editId="234F397C">
            <wp:extent cx="3657600" cy="2025556"/>
            <wp:effectExtent l="19050" t="19050" r="1905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2025556"/>
                    </a:xfrm>
                    <a:prstGeom prst="rect">
                      <a:avLst/>
                    </a:prstGeom>
                    <a:noFill/>
                    <a:ln>
                      <a:solidFill>
                        <a:schemeClr val="tx2"/>
                      </a:solidFill>
                    </a:ln>
                  </pic:spPr>
                </pic:pic>
              </a:graphicData>
            </a:graphic>
          </wp:inline>
        </w:drawing>
      </w:r>
    </w:p>
    <w:p w:rsidR="006370AA" w:rsidRDefault="006370AA" w:rsidP="006370AA">
      <w:pPr>
        <w:pStyle w:val="Caption"/>
      </w:pPr>
      <w:bookmarkStart w:id="4" w:name="_Ref379289265"/>
      <w:proofErr w:type="gramStart"/>
      <w:r>
        <w:t xml:space="preserve">Figure </w:t>
      </w:r>
      <w:r w:rsidR="00D14AFE">
        <w:fldChar w:fldCharType="begin"/>
      </w:r>
      <w:r w:rsidR="00D14AFE">
        <w:instrText xml:space="preserve"> SEQ Figure \* ARABIC </w:instrText>
      </w:r>
      <w:r w:rsidR="00D14AFE">
        <w:fldChar w:fldCharType="separate"/>
      </w:r>
      <w:r w:rsidR="003129FA">
        <w:rPr>
          <w:noProof/>
        </w:rPr>
        <w:t>4</w:t>
      </w:r>
      <w:r w:rsidR="00D14AFE">
        <w:rPr>
          <w:noProof/>
        </w:rPr>
        <w:fldChar w:fldCharType="end"/>
      </w:r>
      <w:bookmarkEnd w:id="4"/>
      <w:r>
        <w:t>.</w:t>
      </w:r>
      <w:proofErr w:type="gramEnd"/>
      <w:r>
        <w:t xml:space="preserve">  Shape</w:t>
      </w:r>
      <w:r w:rsidR="00734142">
        <w:t xml:space="preserve">d </w:t>
      </w:r>
      <w:r>
        <w:t>charge</w:t>
      </w:r>
    </w:p>
    <w:p w:rsidR="00C21E10" w:rsidRDefault="00C21E10" w:rsidP="00D3043A"/>
    <w:p w:rsidR="0050622B" w:rsidRDefault="00686E41" w:rsidP="00686E41">
      <w:pPr>
        <w:pStyle w:val="Caption"/>
      </w:pPr>
      <w:proofErr w:type="gramStart"/>
      <w:r>
        <w:t xml:space="preserve">Table </w:t>
      </w:r>
      <w:r w:rsidR="00D14AFE">
        <w:fldChar w:fldCharType="begin"/>
      </w:r>
      <w:r w:rsidR="00D14AFE">
        <w:instrText xml:space="preserve"> SEQ Table \* ARABIC </w:instrText>
      </w:r>
      <w:r w:rsidR="00D14AFE">
        <w:fldChar w:fldCharType="separate"/>
      </w:r>
      <w:r w:rsidR="003129FA">
        <w:rPr>
          <w:noProof/>
        </w:rPr>
        <w:t>1</w:t>
      </w:r>
      <w:r w:rsidR="00D14AFE">
        <w:rPr>
          <w:noProof/>
        </w:rPr>
        <w:fldChar w:fldCharType="end"/>
      </w:r>
      <w:r>
        <w:t>.</w:t>
      </w:r>
      <w:proofErr w:type="gramEnd"/>
      <w:r>
        <w:rPr>
          <w:noProof/>
        </w:rPr>
        <w:t xml:space="preserve">  Completion service condtions (adapted from </w:t>
      </w:r>
      <w:r w:rsidR="00C84A4C">
        <w:rPr>
          <w:noProof/>
        </w:rPr>
        <w:fldChar w:fldCharType="begin"/>
      </w:r>
      <w:r w:rsidR="00C84A4C">
        <w:rPr>
          <w:noProof/>
        </w:rPr>
        <w:instrText xml:space="preserve"> ADDIN EN.CITE &lt;EndNote&gt;&lt;Cite&gt;&lt;Author&gt;Wan&lt;/Author&gt;&lt;Year&gt;2011&lt;/Year&gt;&lt;RecNum&gt;407&lt;/RecNum&gt;&lt;DisplayText&gt;[1]&lt;/DisplayText&gt;&lt;record&gt;&lt;rec-number&gt;407&lt;/rec-number&gt;&lt;foreign-keys&gt;&lt;key app="EN" db-id="rwzxp2sses9f5deexw8xe0tjf5f2wep0epv9"&gt;407&lt;/key&gt;&lt;/foreign-keys&gt;&lt;ref-type name="Book"&gt;6&lt;/ref-type&gt;&lt;contributors&gt;&lt;authors&gt;&lt;author&gt;Wan, Renpu&lt;/author&gt;&lt;/authors&gt;&lt;/contributors&gt;&lt;titles&gt;&lt;title&gt;Advanced well completion engineering&lt;/title&gt;&lt;/titles&gt;&lt;pages&gt;xx, 715 p.&lt;/pages&gt;&lt;edition&gt;3rd&lt;/edition&gt;&lt;keywords&gt;&lt;keyword&gt;Oil well completion.&lt;/keyword&gt;&lt;/keywords&gt;&lt;dates&gt;&lt;year&gt;2011&lt;/year&gt;&lt;/dates&gt;&lt;pub-location&gt;Waltham, MA&lt;/pub-location&gt;&lt;publisher&gt;Gulf Professional Pub.&lt;/publisher&gt;&lt;isbn&gt;9780123858689 (alk. paper)&lt;/isbn&gt;&lt;accession-num&gt;16677742&lt;/accession-num&gt;&lt;call-num&gt;Jefferson or Adams Building Reading Rooms TN871.2; .R384 2011&lt;/call-num&gt;&lt;urls&gt;&lt;/urls&gt;&lt;/record&gt;&lt;/Cite&gt;&lt;/EndNote&gt;</w:instrText>
      </w:r>
      <w:r w:rsidR="00C84A4C">
        <w:rPr>
          <w:noProof/>
        </w:rPr>
        <w:fldChar w:fldCharType="separate"/>
      </w:r>
      <w:r w:rsidR="00C84A4C">
        <w:rPr>
          <w:noProof/>
        </w:rPr>
        <w:t>[</w:t>
      </w:r>
      <w:hyperlink w:anchor="_ENREF_1" w:tooltip="Wan, 2011 #407" w:history="1">
        <w:r w:rsidR="00817F40">
          <w:rPr>
            <w:noProof/>
          </w:rPr>
          <w:t>1</w:t>
        </w:r>
      </w:hyperlink>
      <w:r w:rsidR="00C84A4C">
        <w:rPr>
          <w:noProof/>
        </w:rPr>
        <w:t>]</w:t>
      </w:r>
      <w:r w:rsidR="00C84A4C">
        <w:rPr>
          <w:noProof/>
        </w:rPr>
        <w:fldChar w:fldCharType="end"/>
      </w:r>
      <w:r>
        <w:rPr>
          <w:noProof/>
        </w:rPr>
        <w:t>)</w:t>
      </w:r>
    </w:p>
    <w:tbl>
      <w:tblPr>
        <w:tblStyle w:val="LightList-Accent1"/>
        <w:tblW w:w="0" w:type="auto"/>
        <w:tblLook w:val="00A0" w:firstRow="1" w:lastRow="0" w:firstColumn="1" w:lastColumn="0" w:noHBand="0" w:noVBand="0"/>
      </w:tblPr>
      <w:tblGrid>
        <w:gridCol w:w="2808"/>
        <w:gridCol w:w="6768"/>
      </w:tblGrid>
      <w:tr w:rsidR="00686E41" w:rsidTr="00686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686E41" w:rsidRDefault="00686E41" w:rsidP="00686E41">
            <w:r>
              <w:t>Completion Mode</w:t>
            </w:r>
          </w:p>
        </w:tc>
        <w:tc>
          <w:tcPr>
            <w:cnfStyle w:val="000010000000" w:firstRow="0" w:lastRow="0" w:firstColumn="0" w:lastColumn="0" w:oddVBand="1" w:evenVBand="0" w:oddHBand="0" w:evenHBand="0" w:firstRowFirstColumn="0" w:firstRowLastColumn="0" w:lastRowFirstColumn="0" w:lastRowLastColumn="0"/>
            <w:tcW w:w="6768" w:type="dxa"/>
          </w:tcPr>
          <w:p w:rsidR="00686E41" w:rsidRDefault="00686E41" w:rsidP="00686E41">
            <w:r>
              <w:t>Service Conditions for Use</w:t>
            </w:r>
          </w:p>
        </w:tc>
      </w:tr>
      <w:tr w:rsidR="006B3CE1" w:rsidTr="006B3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6B3CE1" w:rsidRDefault="006B3CE1" w:rsidP="006B3CE1">
            <w:r>
              <w:t>Open hole  (barefoot)</w:t>
            </w:r>
          </w:p>
        </w:tc>
        <w:tc>
          <w:tcPr>
            <w:cnfStyle w:val="000010000000" w:firstRow="0" w:lastRow="0" w:firstColumn="0" w:lastColumn="0" w:oddVBand="1" w:evenVBand="0" w:oddHBand="0" w:evenHBand="0" w:firstRowFirstColumn="0" w:firstRowLastColumn="0" w:lastRowFirstColumn="0" w:lastRowLastColumn="0"/>
            <w:tcW w:w="6768" w:type="dxa"/>
          </w:tcPr>
          <w:p w:rsidR="006B3CE1" w:rsidRDefault="006B3CE1" w:rsidP="006B3CE1">
            <w:pPr>
              <w:pStyle w:val="ListParagraph"/>
              <w:numPr>
                <w:ilvl w:val="0"/>
                <w:numId w:val="2"/>
              </w:numPr>
            </w:pPr>
            <w:r>
              <w:t>Competent rock reservoir</w:t>
            </w:r>
          </w:p>
          <w:p w:rsidR="006B3CE1" w:rsidRDefault="00DC623A" w:rsidP="006B3CE1">
            <w:pPr>
              <w:pStyle w:val="ListParagraph"/>
              <w:numPr>
                <w:ilvl w:val="0"/>
                <w:numId w:val="2"/>
              </w:numPr>
            </w:pPr>
            <w:r>
              <w:t>Oil &amp; gas r</w:t>
            </w:r>
            <w:r w:rsidR="006B3CE1">
              <w:t xml:space="preserve">eservoir without gas cap, bottom water, water-bearing </w:t>
            </w:r>
            <w:proofErr w:type="spellStart"/>
            <w:r w:rsidR="006B3CE1">
              <w:t>interbed</w:t>
            </w:r>
            <w:proofErr w:type="spellEnd"/>
          </w:p>
          <w:p w:rsidR="006B3CE1" w:rsidRDefault="006B3CE1" w:rsidP="006B3CE1">
            <w:pPr>
              <w:pStyle w:val="ListParagraph"/>
              <w:numPr>
                <w:ilvl w:val="0"/>
                <w:numId w:val="2"/>
              </w:numPr>
            </w:pPr>
            <w:r>
              <w:t xml:space="preserve">Single thick reservoir or </w:t>
            </w:r>
            <w:proofErr w:type="spellStart"/>
            <w:r>
              <w:t>mutli</w:t>
            </w:r>
            <w:proofErr w:type="spellEnd"/>
            <w:r w:rsidR="003430F2">
              <w:t>-</w:t>
            </w:r>
            <w:r>
              <w:t>zone layer with similar pressure and lithology</w:t>
            </w:r>
          </w:p>
          <w:p w:rsidR="006B3CE1" w:rsidRDefault="006B3CE1" w:rsidP="006B3CE1">
            <w:pPr>
              <w:pStyle w:val="ListParagraph"/>
              <w:numPr>
                <w:ilvl w:val="0"/>
                <w:numId w:val="2"/>
              </w:numPr>
            </w:pPr>
            <w:r>
              <w:t>No zonal isolation required</w:t>
            </w:r>
          </w:p>
        </w:tc>
      </w:tr>
      <w:tr w:rsidR="003430F2" w:rsidTr="007B5179">
        <w:tc>
          <w:tcPr>
            <w:cnfStyle w:val="001000000000" w:firstRow="0" w:lastRow="0" w:firstColumn="1" w:lastColumn="0" w:oddVBand="0" w:evenVBand="0" w:oddHBand="0" w:evenHBand="0" w:firstRowFirstColumn="0" w:firstRowLastColumn="0" w:lastRowFirstColumn="0" w:lastRowLastColumn="0"/>
            <w:tcW w:w="2808" w:type="dxa"/>
          </w:tcPr>
          <w:p w:rsidR="003430F2" w:rsidRDefault="003430F2" w:rsidP="007B5179">
            <w:r>
              <w:t>Open hole (liner)</w:t>
            </w:r>
          </w:p>
        </w:tc>
        <w:tc>
          <w:tcPr>
            <w:cnfStyle w:val="000010000000" w:firstRow="0" w:lastRow="0" w:firstColumn="0" w:lastColumn="0" w:oddVBand="1" w:evenVBand="0" w:oddHBand="0" w:evenHBand="0" w:firstRowFirstColumn="0" w:firstRowLastColumn="0" w:lastRowFirstColumn="0" w:lastRowLastColumn="0"/>
            <w:tcW w:w="6768" w:type="dxa"/>
          </w:tcPr>
          <w:p w:rsidR="003430F2" w:rsidRDefault="00DC623A" w:rsidP="007B5179">
            <w:pPr>
              <w:pStyle w:val="ListParagraph"/>
              <w:numPr>
                <w:ilvl w:val="0"/>
                <w:numId w:val="2"/>
              </w:numPr>
            </w:pPr>
            <w:r>
              <w:t>Oil and gas r</w:t>
            </w:r>
            <w:r w:rsidR="003430F2">
              <w:t>eservoir without gas cap, bottom water</w:t>
            </w:r>
          </w:p>
          <w:p w:rsidR="003430F2" w:rsidRDefault="003430F2" w:rsidP="007B5179">
            <w:pPr>
              <w:pStyle w:val="ListParagraph"/>
              <w:numPr>
                <w:ilvl w:val="0"/>
                <w:numId w:val="2"/>
              </w:numPr>
            </w:pPr>
            <w:r>
              <w:t>Single thick reservoir or multi-zone reservoir with same pressure and lithology</w:t>
            </w:r>
          </w:p>
          <w:p w:rsidR="003430F2" w:rsidRDefault="003430F2" w:rsidP="007B5179">
            <w:pPr>
              <w:pStyle w:val="ListParagraph"/>
              <w:numPr>
                <w:ilvl w:val="0"/>
                <w:numId w:val="2"/>
              </w:numPr>
            </w:pPr>
            <w:r>
              <w:t>Zonal isolation not required</w:t>
            </w:r>
          </w:p>
          <w:p w:rsidR="003430F2" w:rsidRDefault="003430F2" w:rsidP="007B5179">
            <w:pPr>
              <w:pStyle w:val="ListParagraph"/>
              <w:numPr>
                <w:ilvl w:val="0"/>
                <w:numId w:val="2"/>
              </w:numPr>
            </w:pPr>
            <w:r>
              <w:t>Unconsolidated medium and coarse grain sand reservoir</w:t>
            </w:r>
          </w:p>
        </w:tc>
      </w:tr>
      <w:tr w:rsidR="00C21E10" w:rsidTr="00686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C21E10" w:rsidRDefault="00C21E10" w:rsidP="009A6728">
            <w:r>
              <w:t xml:space="preserve">Cased-hole </w:t>
            </w:r>
          </w:p>
        </w:tc>
        <w:tc>
          <w:tcPr>
            <w:cnfStyle w:val="000010000000" w:firstRow="0" w:lastRow="0" w:firstColumn="0" w:lastColumn="0" w:oddVBand="1" w:evenVBand="0" w:oddHBand="0" w:evenHBand="0" w:firstRowFirstColumn="0" w:firstRowLastColumn="0" w:lastRowFirstColumn="0" w:lastRowLastColumn="0"/>
            <w:tcW w:w="6768" w:type="dxa"/>
          </w:tcPr>
          <w:p w:rsidR="00C21E10" w:rsidRDefault="00C21E10" w:rsidP="00686E41">
            <w:pPr>
              <w:pStyle w:val="ListParagraph"/>
              <w:numPr>
                <w:ilvl w:val="0"/>
                <w:numId w:val="2"/>
              </w:numPr>
            </w:pPr>
            <w:r>
              <w:t>Zonal isolation required due to complicated geological conditions</w:t>
            </w:r>
          </w:p>
          <w:p w:rsidR="00C21E10" w:rsidRDefault="00C21E10" w:rsidP="00686E41">
            <w:pPr>
              <w:pStyle w:val="ListParagraph"/>
              <w:numPr>
                <w:ilvl w:val="0"/>
                <w:numId w:val="2"/>
              </w:numPr>
            </w:pPr>
            <w:r>
              <w:t>Low-permeability reservoir that requires hydraulic fracturing</w:t>
            </w:r>
          </w:p>
          <w:p w:rsidR="00C21E10" w:rsidRDefault="00C21E10" w:rsidP="00686E41">
            <w:pPr>
              <w:pStyle w:val="ListParagraph"/>
              <w:numPr>
                <w:ilvl w:val="0"/>
                <w:numId w:val="2"/>
              </w:numPr>
            </w:pPr>
            <w:r>
              <w:t>Sandstone reservoir and fractured reservoir</w:t>
            </w:r>
          </w:p>
        </w:tc>
      </w:tr>
    </w:tbl>
    <w:p w:rsidR="00686E41" w:rsidRDefault="00686E41" w:rsidP="00686E41"/>
    <w:p w:rsidR="00AC0B89" w:rsidRDefault="00AC0B89" w:rsidP="00AC0B89">
      <w:pPr>
        <w:pStyle w:val="Heading3"/>
      </w:pPr>
      <w:r>
        <w:t>Casing</w:t>
      </w:r>
    </w:p>
    <w:p w:rsidR="00734142" w:rsidRDefault="006B3CE1" w:rsidP="00AC0B89">
      <w:r>
        <w:t>Casing provides the controlled flow path from the production zone to the surface and is a</w:t>
      </w:r>
      <w:r w:rsidR="003430F2">
        <w:t xml:space="preserve"> </w:t>
      </w:r>
      <w:r w:rsidR="00923863">
        <w:t>key component in completions.  It protects the wellbore from the surrounding environment and the surrounding environment from produced fluids</w:t>
      </w:r>
      <w:r w:rsidR="006B5EB4">
        <w:t xml:space="preserve"> and prevents the formation from collapsing. </w:t>
      </w:r>
    </w:p>
    <w:p w:rsidR="00AC0B89" w:rsidRDefault="0032210C" w:rsidP="00AC0B89">
      <w:r>
        <w:t>Well casing is comprised of a metal tubes installed in drilled holes</w:t>
      </w:r>
      <w:r w:rsidR="00923863">
        <w:t>.</w:t>
      </w:r>
      <w:r w:rsidR="00734142">
        <w:t xml:space="preserve">  </w:t>
      </w:r>
      <w:r w:rsidR="00AC0B89">
        <w:t xml:space="preserve">There are five types of casing based on function.  </w:t>
      </w:r>
    </w:p>
    <w:p w:rsidR="00EA5E13" w:rsidRDefault="00EA5E13" w:rsidP="00E27ECE">
      <w:pPr>
        <w:pStyle w:val="Heading4"/>
      </w:pPr>
      <w:r>
        <w:lastRenderedPageBreak/>
        <w:t xml:space="preserve">Conductor </w:t>
      </w:r>
      <w:r w:rsidR="000A187E">
        <w:t>c</w:t>
      </w:r>
      <w:r>
        <w:t>asing</w:t>
      </w:r>
    </w:p>
    <w:p w:rsidR="00EA5E13" w:rsidRDefault="00EA5E13" w:rsidP="00EA5E13">
      <w:r>
        <w:t xml:space="preserve">The conductor string acts as a guide for the remaining casing in the hole.  It is the first string cemented to the top and fitted with casing head and blowout prevention equipment.  It is shallow, typically </w:t>
      </w:r>
      <w:proofErr w:type="gramStart"/>
      <w:r>
        <w:t xml:space="preserve">between 20-50 </w:t>
      </w:r>
      <w:proofErr w:type="spellStart"/>
      <w:r>
        <w:t>ft</w:t>
      </w:r>
      <w:proofErr w:type="spellEnd"/>
      <w:r>
        <w:t xml:space="preserve"> long</w:t>
      </w:r>
      <w:proofErr w:type="gramEnd"/>
      <w:r>
        <w:t xml:space="preserve">.  </w:t>
      </w:r>
    </w:p>
    <w:p w:rsidR="00AC0B89" w:rsidRDefault="00AC0B89" w:rsidP="00E27ECE">
      <w:pPr>
        <w:pStyle w:val="Heading4"/>
      </w:pPr>
      <w:r>
        <w:t xml:space="preserve">Surface </w:t>
      </w:r>
      <w:r w:rsidR="000A187E">
        <w:t>c</w:t>
      </w:r>
      <w:r>
        <w:t>asing</w:t>
      </w:r>
    </w:p>
    <w:p w:rsidR="00AC0B89" w:rsidRDefault="00AC0B89" w:rsidP="00AC0B89">
      <w:r>
        <w:t>The surface casing is used to protect loose surface formation and allow circulating the drilling fluid.  It is typically shallow</w:t>
      </w:r>
      <w:r w:rsidR="00965DAC">
        <w:t xml:space="preserve"> (&lt;2000 </w:t>
      </w:r>
      <w:proofErr w:type="spellStart"/>
      <w:r w:rsidR="00965DAC">
        <w:t>ft</w:t>
      </w:r>
      <w:proofErr w:type="spellEnd"/>
      <w:r w:rsidR="00965DAC">
        <w:t xml:space="preserve">) </w:t>
      </w:r>
      <w:r>
        <w:t>and cemented in pre-drilled holes</w:t>
      </w:r>
      <w:r w:rsidR="00965DAC">
        <w:t xml:space="preserve"> smaller in diameter than the conductor casing.  It protects the surrounding environment from production fluids deeper underground.</w:t>
      </w:r>
      <w:r w:rsidR="006B5EB4">
        <w:t xml:space="preserve">  In most jurisdictions, surface casing cannot be less than 10% of planned total depth (TD).</w:t>
      </w:r>
    </w:p>
    <w:p w:rsidR="00AC0B89" w:rsidRDefault="00AC0B89" w:rsidP="00E27ECE">
      <w:pPr>
        <w:pStyle w:val="Heading4"/>
      </w:pPr>
      <w:r>
        <w:t xml:space="preserve">Intermediate </w:t>
      </w:r>
      <w:r w:rsidR="000A187E">
        <w:t>c</w:t>
      </w:r>
      <w:r>
        <w:t>asing</w:t>
      </w:r>
    </w:p>
    <w:p w:rsidR="00AC0B89" w:rsidRDefault="00AC0B89" w:rsidP="00AC0B89">
      <w:r>
        <w:t>Intermediate casing is also known as protection string.</w:t>
      </w:r>
      <w:r w:rsidR="00EA5E13">
        <w:t xml:space="preserve">  It is usually the longest section found in the well.  </w:t>
      </w:r>
      <w:r>
        <w:t>It is set in the transition zone to protect weak formations or to case of</w:t>
      </w:r>
      <w:r w:rsidR="006B5EB4">
        <w:t>f</w:t>
      </w:r>
      <w:r>
        <w:t xml:space="preserve"> lost circulation zones.</w:t>
      </w:r>
      <w:r w:rsidR="006B5EB4">
        <w:t xml:space="preserve">  Multiple intermediate strings may be used.  They are set when geologic conditions change, often when the necessary mud weight to control a lower formation exceeds the pressure that can be supported by a weak upper formation.</w:t>
      </w:r>
    </w:p>
    <w:p w:rsidR="00EA5E13" w:rsidRDefault="00EA5E13" w:rsidP="00E27ECE">
      <w:pPr>
        <w:pStyle w:val="Heading4"/>
      </w:pPr>
      <w:r>
        <w:t xml:space="preserve">Liner </w:t>
      </w:r>
      <w:r w:rsidR="000A187E">
        <w:t>s</w:t>
      </w:r>
      <w:r>
        <w:t>tring</w:t>
      </w:r>
    </w:p>
    <w:p w:rsidR="00EA5E13" w:rsidRDefault="00EA5E13" w:rsidP="00EA5E13">
      <w:r>
        <w:t xml:space="preserve">Liner string can be used in place of intermediate casing.  Liner strings are run from the bottom of the casing to an open well area.  They are </w:t>
      </w:r>
      <w:r w:rsidR="005459AD">
        <w:t xml:space="preserve">hung in </w:t>
      </w:r>
      <w:r>
        <w:t xml:space="preserve">the previous casing string with </w:t>
      </w:r>
      <w:r w:rsidR="005459AD">
        <w:t xml:space="preserve">a liner </w:t>
      </w:r>
      <w:r>
        <w:t xml:space="preserve">hanger. </w:t>
      </w:r>
    </w:p>
    <w:p w:rsidR="00EA5E13" w:rsidRDefault="00EA5E13" w:rsidP="00E27ECE">
      <w:pPr>
        <w:pStyle w:val="Heading4"/>
      </w:pPr>
      <w:r>
        <w:t xml:space="preserve">Production </w:t>
      </w:r>
      <w:r w:rsidR="000A187E">
        <w:t>c</w:t>
      </w:r>
      <w:r>
        <w:t>asing</w:t>
      </w:r>
    </w:p>
    <w:p w:rsidR="000D297D" w:rsidRDefault="00EA5E13" w:rsidP="00EA5E13">
      <w:r>
        <w:t>Production casing is installed last and is the deepest casing in the well.  It provides a continuous path from the production zone to the surface.</w:t>
      </w:r>
    </w:p>
    <w:p w:rsidR="00EA5E13" w:rsidRDefault="000D297D" w:rsidP="00EA5E13">
      <w:r>
        <w:t>In applications</w:t>
      </w:r>
      <w:r w:rsidR="003430F2">
        <w:t xml:space="preserve"> like geothermal </w:t>
      </w:r>
      <w:r>
        <w:t>where the thermal stresses are high, all casing strings are generally tied back to the surface.</w:t>
      </w:r>
      <w:r w:rsidR="00EA5E13">
        <w:t xml:space="preserve">  </w:t>
      </w:r>
    </w:p>
    <w:p w:rsidR="000A187E" w:rsidRPr="00EA5E13" w:rsidRDefault="000A187E" w:rsidP="000A187E">
      <w:pPr>
        <w:pStyle w:val="Heading4"/>
      </w:pPr>
      <w:r>
        <w:t>Casing program design</w:t>
      </w:r>
    </w:p>
    <w:p w:rsidR="00014C74" w:rsidRDefault="00FB241D" w:rsidP="00014C74">
      <w:r>
        <w:t>Due to the potential environmental and safety consequences of failure, production casing program must be robust.  A great deal of planning is required to insure the proper casing is installed for each well.</w:t>
      </w:r>
      <w:r w:rsidR="00634A04">
        <w:t xml:space="preserve">  </w:t>
      </w:r>
      <w:r w:rsidR="00DC3980">
        <w:t xml:space="preserve">Wells are designed from the bottom up.  </w:t>
      </w:r>
      <w:r w:rsidR="00634A04">
        <w:t xml:space="preserve">The well </w:t>
      </w:r>
      <w:r w:rsidR="00DC3980">
        <w:t xml:space="preserve">design should be </w:t>
      </w:r>
      <w:r w:rsidR="00634A04">
        <w:t xml:space="preserve">based on the </w:t>
      </w:r>
      <w:r w:rsidR="002051E4">
        <w:t xml:space="preserve">collapse pressure, burst pressure, and tensile strength of the casing.  </w:t>
      </w:r>
      <w:r w:rsidR="00014C74">
        <w:t>Basic information regarding the well including the purpose, geological cross sections, and available bits and casing sizes should be known</w:t>
      </w:r>
      <w:r w:rsidR="002051E4">
        <w:t xml:space="preserve"> </w:t>
      </w:r>
      <w:r w:rsidR="002051E4">
        <w:fldChar w:fldCharType="begin"/>
      </w:r>
      <w:r w:rsidR="002051E4">
        <w:instrText xml:space="preserve"> ADDIN EN.CITE &lt;EndNote&gt;&lt;Cite ExcludeYear="1"&gt;&lt;Author&gt;Pye&lt;/Author&gt;&lt;RecNum&gt;452&lt;/RecNum&gt;&lt;DisplayText&gt;[5]&lt;/DisplayText&gt;&lt;record&gt;&lt;rec-number&gt;452&lt;/rec-number&gt;&lt;foreign-keys&gt;&lt;key app="EN" db-id="rwzxp2sses9f5deexw8xe0tjf5f2wep0epv9"&gt;452&lt;/key&gt;&lt;/foreign-keys&gt;&lt;ref-type name="Unpublished Work"&gt;34&lt;/ref-type&gt;&lt;contributors&gt;&lt;authors&gt;&lt;author&gt;Stephen Pye&lt;/author&gt;&lt;/authors&gt;&lt;/contributors&gt;&lt;titles&gt;&lt;title&gt;Geothermal Well Design&lt;/title&gt;&lt;/titles&gt;&lt;dates&gt;&lt;year&gt;2005&lt;/year&gt;&lt;/dates&gt;&lt;urls&gt;&lt;/urls&gt;&lt;/record&gt;&lt;/Cite&gt;&lt;/EndNote&gt;</w:instrText>
      </w:r>
      <w:r w:rsidR="002051E4">
        <w:fldChar w:fldCharType="separate"/>
      </w:r>
      <w:r w:rsidR="002051E4">
        <w:rPr>
          <w:noProof/>
        </w:rPr>
        <w:t>[</w:t>
      </w:r>
      <w:hyperlink w:anchor="_ENREF_5" w:tooltip="Pye, 2005 #452" w:history="1">
        <w:r w:rsidR="00817F40">
          <w:rPr>
            <w:noProof/>
          </w:rPr>
          <w:t>5</w:t>
        </w:r>
      </w:hyperlink>
      <w:r w:rsidR="002051E4">
        <w:rPr>
          <w:noProof/>
        </w:rPr>
        <w:t>]</w:t>
      </w:r>
      <w:r w:rsidR="002051E4">
        <w:fldChar w:fldCharType="end"/>
      </w:r>
      <w:r w:rsidR="00014C74">
        <w:t xml:space="preserve">.  Additionally, the final production size and well depth </w:t>
      </w:r>
      <w:r w:rsidR="00BE0906">
        <w:t xml:space="preserve">must </w:t>
      </w:r>
      <w:r w:rsidR="00014C74">
        <w:t xml:space="preserve">also be known.  </w:t>
      </w:r>
      <w:r w:rsidR="00634A04">
        <w:t xml:space="preserve">Optimization of the </w:t>
      </w:r>
      <w:r w:rsidR="00086521">
        <w:t>design includes minimizing cost and is</w:t>
      </w:r>
      <w:r w:rsidR="00634A04">
        <w:t xml:space="preserve"> </w:t>
      </w:r>
      <w:r w:rsidR="00086521">
        <w:t>performed</w:t>
      </w:r>
      <w:r w:rsidR="00634A04">
        <w:t xml:space="preserve"> by choosing the least number of casing strings </w:t>
      </w:r>
      <w:r w:rsidR="00DC3980">
        <w:fldChar w:fldCharType="begin"/>
      </w:r>
      <w:r w:rsidR="00DC3980">
        <w:instrText xml:space="preserve"> ADDIN EN.CITE &lt;EndNote&gt;&lt;Cite ExcludeYear="1"&gt;&lt;Author&gt;Pye&lt;/Author&gt;&lt;RecNum&gt;452&lt;/RecNum&gt;&lt;DisplayText&gt;[5]&lt;/DisplayText&gt;&lt;record&gt;&lt;rec-number&gt;452&lt;/rec-number&gt;&lt;foreign-keys&gt;&lt;key app="EN" db-id="rwzxp2sses9f5deexw8xe0tjf5f2wep0epv9"&gt;452&lt;/key&gt;&lt;/foreign-keys&gt;&lt;ref-type name="Unpublished Work"&gt;34&lt;/ref-type&gt;&lt;contributors&gt;&lt;authors&gt;&lt;author&gt;Stephen Pye&lt;/author&gt;&lt;/authors&gt;&lt;/contributors&gt;&lt;titles&gt;&lt;title&gt;Geothermal Well Design&lt;/title&gt;&lt;/titles&gt;&lt;dates&gt;&lt;year&gt;2005&lt;/year&gt;&lt;/dates&gt;&lt;urls&gt;&lt;/urls&gt;&lt;/record&gt;&lt;/Cite&gt;&lt;/EndNote&gt;</w:instrText>
      </w:r>
      <w:r w:rsidR="00DC3980">
        <w:fldChar w:fldCharType="separate"/>
      </w:r>
      <w:r w:rsidR="00DC3980">
        <w:rPr>
          <w:noProof/>
        </w:rPr>
        <w:t>[</w:t>
      </w:r>
      <w:hyperlink w:anchor="_ENREF_5" w:tooltip="Pye, 2005 #452" w:history="1">
        <w:r w:rsidR="00817F40">
          <w:rPr>
            <w:noProof/>
          </w:rPr>
          <w:t>5</w:t>
        </w:r>
      </w:hyperlink>
      <w:r w:rsidR="00DC3980">
        <w:rPr>
          <w:noProof/>
        </w:rPr>
        <w:t>]</w:t>
      </w:r>
      <w:r w:rsidR="00DC3980">
        <w:fldChar w:fldCharType="end"/>
      </w:r>
      <w:r w:rsidR="00014C74">
        <w:t>.</w:t>
      </w:r>
      <w:r w:rsidR="00817F40">
        <w:t xml:space="preserve">  These costs</w:t>
      </w:r>
      <w:r w:rsidR="00DE2C6D">
        <w:t xml:space="preserve"> can be significant</w:t>
      </w:r>
      <w:r w:rsidR="00817F40">
        <w:t xml:space="preserve"> in </w:t>
      </w:r>
      <w:r w:rsidR="00DE2C6D">
        <w:t>geothermal where large diameter casing can represent more than 40% of total well cost</w:t>
      </w:r>
      <w:r w:rsidR="00817F40">
        <w:t xml:space="preserve"> </w:t>
      </w:r>
      <w:r w:rsidR="00817F40">
        <w:fldChar w:fldCharType="begin"/>
      </w:r>
      <w:r w:rsidR="00817F40">
        <w:instrText xml:space="preserve"> ADDIN EN.CITE &lt;EndNote&gt;&lt;Cite&gt;&lt;Author&gt;Finger&lt;/Author&gt;&lt;Year&gt;2010&lt;/Year&gt;&lt;RecNum&gt;392&lt;/RecNum&gt;&lt;DisplayText&gt;[6]&lt;/DisplayText&gt;&lt;record&gt;&lt;rec-number&gt;392&lt;/rec-number&gt;&lt;foreign-keys&gt;&lt;key app="EN" db-id="rwzxp2sses9f5deexw8xe0tjf5f2wep0epv9"&gt;392&lt;/key&gt;&lt;/foreign-keys&gt;&lt;ref-type name="Journal Article"&gt;17&lt;/ref-type&gt;&lt;contributors&gt;&lt;authors&gt;&lt;author&gt;Finger, John, Doug Blankenship&lt;/author&gt;&lt;/authors&gt;&lt;/contributors&gt;&lt;titles&gt;&lt;title&gt;Handbook of Best Practices for Geothermal Drilling&lt;/title&gt;&lt;secondary-title&gt;SANDIA REPORT&lt;/secondary-title&gt;&lt;/titles&gt;&lt;periodical&gt;&lt;full-title&gt;SANDIA REPORT&lt;/full-title&gt;&lt;/periodical&gt;&lt;number&gt;SAND2010-6048&lt;/number&gt;&lt;dates&gt;&lt;year&gt;2010&lt;/year&gt;&lt;pub-dates&gt;&lt;date&gt;December 2010&lt;/date&gt;&lt;/pub-dates&gt;&lt;/dates&gt;&lt;publisher&gt;Sandia National Laboratories&lt;/publisher&gt;&lt;urls&gt;&lt;/urls&gt;&lt;/record&gt;&lt;/Cite&gt;&lt;/EndNote&gt;</w:instrText>
      </w:r>
      <w:r w:rsidR="00817F40">
        <w:fldChar w:fldCharType="separate"/>
      </w:r>
      <w:r w:rsidR="00817F40">
        <w:rPr>
          <w:noProof/>
        </w:rPr>
        <w:t>[</w:t>
      </w:r>
      <w:hyperlink w:anchor="_ENREF_6" w:tooltip="Finger, 2010 #392" w:history="1">
        <w:r w:rsidR="00817F40">
          <w:rPr>
            <w:noProof/>
          </w:rPr>
          <w:t>6</w:t>
        </w:r>
      </w:hyperlink>
      <w:r w:rsidR="00817F40">
        <w:rPr>
          <w:noProof/>
        </w:rPr>
        <w:t>]</w:t>
      </w:r>
      <w:r w:rsidR="00817F40">
        <w:fldChar w:fldCharType="end"/>
      </w:r>
      <w:r w:rsidR="00817F40">
        <w:t xml:space="preserve">. </w:t>
      </w:r>
    </w:p>
    <w:p w:rsidR="00014C74" w:rsidRDefault="00014C74" w:rsidP="00AC0B89">
      <w:r>
        <w:t xml:space="preserve">The depth of each section is determined based on having the borehole pressure being greater than the pore pressure but less than the fracture pressure </w:t>
      </w:r>
      <w:r w:rsidR="00C74715">
        <w:fldChar w:fldCharType="begin"/>
      </w:r>
      <w:r w:rsidR="00817F40">
        <w:instrText xml:space="preserve"> ADDIN EN.CITE &lt;EndNote&gt;&lt;Cite ExcludeYear="1"&gt;&lt;Author&gt;Lyons&lt;/Author&gt;&lt;Year&gt;2005&lt;/Year&gt;&lt;RecNum&gt;406&lt;/RecNum&gt;&lt;DisplayText&gt;[7]&lt;/DisplayText&gt;&lt;record&gt;&lt;rec-number&gt;406&lt;/rec-number&gt;&lt;foreign-keys&gt;&lt;key app="EN" db-id="rwzxp2sses9f5deexw8xe0tjf5f2wep0epv9"&gt;406&lt;/key&gt;&lt;/foreign-keys&gt;&lt;ref-type name="Book"&gt;6&lt;/ref-type&gt;&lt;contributors&gt;&lt;authors&gt;&lt;author&gt;Lyons, William C.&lt;/author&gt;&lt;author&gt;Plisga, Gary J.&lt;/author&gt;&lt;/authors&gt;&lt;/contributors&gt;&lt;titles&gt;&lt;title&gt;Standard handbook of petroleum &amp;amp; natural gas engineering&lt;/title&gt;&lt;/titles&gt;&lt;num-vols&gt;1&lt;/num-vols&gt;&lt;edition&gt;2nd&lt;/edition&gt;&lt;keywords&gt;&lt;keyword&gt;Petroleum engineering.&lt;/keyword&gt;&lt;keyword&gt;Natural gas.&lt;/keyword&gt;&lt;/keywords&gt;&lt;dates&gt;&lt;year&gt;2005&lt;/year&gt;&lt;/dates&gt;&lt;pub-location&gt;Burlington, MA ; Oxford, UK&lt;/pub-location&gt;&lt;publisher&gt;Gulf Professional Pub.&lt;/publisher&gt;&lt;isbn&gt;0750677856 (acid-free paper)&lt;/isbn&gt;&lt;accession-num&gt;13669295&lt;/accession-num&gt;&lt;call-num&gt;Reference - Science Reading Room (Adams, 5th Floor) TN870; .S6233 2005&lt;/call-num&gt;&lt;urls&gt;&lt;related-urls&gt;&lt;url&gt;http://www.loc.gov/catdir/toc/els051/2004056285.html&lt;/url&gt;&lt;url&gt;http://www.loc.gov/catdir/description/els051/2004056285.html&lt;/url&gt;&lt;/related-urls&gt;&lt;/urls&gt;&lt;/record&gt;&lt;/Cite&gt;&lt;/EndNote&gt;</w:instrText>
      </w:r>
      <w:r w:rsidR="00C74715">
        <w:fldChar w:fldCharType="separate"/>
      </w:r>
      <w:r w:rsidR="00817F40">
        <w:rPr>
          <w:noProof/>
        </w:rPr>
        <w:t>[</w:t>
      </w:r>
      <w:hyperlink w:anchor="_ENREF_7" w:tooltip="Lyons, 2005 #406" w:history="1">
        <w:r w:rsidR="00817F40">
          <w:rPr>
            <w:noProof/>
          </w:rPr>
          <w:t>7</w:t>
        </w:r>
      </w:hyperlink>
      <w:r w:rsidR="00817F40">
        <w:rPr>
          <w:noProof/>
        </w:rPr>
        <w:t>]</w:t>
      </w:r>
      <w:r w:rsidR="00C74715">
        <w:fldChar w:fldCharType="end"/>
      </w:r>
      <w:r w:rsidR="004A5B2E">
        <w:t xml:space="preserve"> or to case a section of the well that is known a priori to be problematic</w:t>
      </w:r>
      <w:r>
        <w:t xml:space="preserve">.  From there, the casing and hole sizes are determined.  Bit sizes are chosen to </w:t>
      </w:r>
      <w:r>
        <w:lastRenderedPageBreak/>
        <w:t xml:space="preserve">provide between </w:t>
      </w:r>
      <w:r w:rsidR="002A2FE8">
        <w:t>2</w:t>
      </w:r>
      <w:r w:rsidR="002051E4">
        <w:t>.0</w:t>
      </w:r>
      <w:r>
        <w:t xml:space="preserve">in to </w:t>
      </w:r>
      <w:r w:rsidR="002A2FE8">
        <w:t>4</w:t>
      </w:r>
      <w:r w:rsidR="002051E4">
        <w:t>.0</w:t>
      </w:r>
      <w:r>
        <w:t>in between the casing and the wellbore to allow for good cementing.</w:t>
      </w:r>
      <w:r w:rsidR="002051E4">
        <w:t xml:space="preserve">  Newer regulations require 2.0in of cement on all sides and </w:t>
      </w:r>
      <w:r w:rsidR="00192ADD">
        <w:t>are</w:t>
      </w:r>
      <w:r w:rsidR="002051E4">
        <w:t xml:space="preserve"> becoming standard in most areas.</w:t>
      </w:r>
    </w:p>
    <w:p w:rsidR="002633DC" w:rsidRDefault="002633DC" w:rsidP="007B5179">
      <w:pPr>
        <w:pStyle w:val="Heading4"/>
      </w:pPr>
      <w:r>
        <w:t>Casing designations</w:t>
      </w:r>
    </w:p>
    <w:p w:rsidR="005D44AE" w:rsidRDefault="005D44AE" w:rsidP="00AC0B89">
      <w:r>
        <w:t xml:space="preserve">Casing is classified according to the way it is manufactured, </w:t>
      </w:r>
      <w:r w:rsidR="002633DC">
        <w:t xml:space="preserve">the grade of steel used, </w:t>
      </w:r>
      <w:r>
        <w:t xml:space="preserve">dimensions, </w:t>
      </w:r>
      <w:r w:rsidR="005F1E88">
        <w:t>a</w:t>
      </w:r>
      <w:r>
        <w:t xml:space="preserve">nd type of coupling.  API Spec 5CT </w:t>
      </w:r>
      <w:r w:rsidR="002633DC">
        <w:t xml:space="preserve">describes the requirements for casing </w:t>
      </w:r>
      <w:r w:rsidR="00B42CB3">
        <w:fldChar w:fldCharType="begin"/>
      </w:r>
      <w:r w:rsidR="00817F40">
        <w:instrText xml:space="preserve"> ADDIN EN.CITE &lt;EndNote&gt;&lt;Cite ExcludeYear="1"&gt;&lt;Author&gt;API&lt;/Author&gt;&lt;Year&gt;2005&lt;/Year&gt;&lt;RecNum&gt;453&lt;/RecNum&gt;&lt;DisplayText&gt;[8]&lt;/DisplayText&gt;&lt;record&gt;&lt;rec-number&gt;453&lt;/rec-number&gt;&lt;foreign-keys&gt;&lt;key app="EN" db-id="rwzxp2sses9f5deexw8xe0tjf5f2wep0epv9"&gt;453&lt;/key&gt;&lt;/foreign-keys&gt;&lt;ref-type name="Standard"&gt;58&lt;/ref-type&gt;&lt;contributors&gt;&lt;authors&gt;&lt;author&gt;API&lt;/author&gt;&lt;/authors&gt;&lt;/contributors&gt;&lt;titles&gt;&lt;title&gt;API 5CT Specification for Casing and Tubing&lt;/title&gt;&lt;/titles&gt;&lt;volume&gt;API Spec 5CT&lt;/volume&gt;&lt;dates&gt;&lt;year&gt;2005&lt;/year&gt;&lt;/dates&gt;&lt;pub-location&gt;Washington, DC&lt;/pub-location&gt;&lt;publisher&gt;American Petroleum Institute&lt;/publisher&gt;&lt;urls&gt;&lt;/urls&gt;&lt;/record&gt;&lt;/Cite&gt;&lt;/EndNote&gt;</w:instrText>
      </w:r>
      <w:r w:rsidR="00B42CB3">
        <w:fldChar w:fldCharType="separate"/>
      </w:r>
      <w:r w:rsidR="00817F40">
        <w:rPr>
          <w:noProof/>
        </w:rPr>
        <w:t>[</w:t>
      </w:r>
      <w:hyperlink w:anchor="_ENREF_8" w:tooltip="API, 2005 #453" w:history="1">
        <w:r w:rsidR="00817F40">
          <w:rPr>
            <w:noProof/>
          </w:rPr>
          <w:t>8</w:t>
        </w:r>
      </w:hyperlink>
      <w:r w:rsidR="00817F40">
        <w:rPr>
          <w:noProof/>
        </w:rPr>
        <w:t>]</w:t>
      </w:r>
      <w:r w:rsidR="00B42CB3">
        <w:fldChar w:fldCharType="end"/>
      </w:r>
      <w:r w:rsidR="002633DC">
        <w:t xml:space="preserve">.  </w:t>
      </w:r>
      <w:r w:rsidR="00991395">
        <w:t xml:space="preserve">Casing is typically </w:t>
      </w:r>
      <w:r w:rsidR="002633DC">
        <w:t xml:space="preserve">manufactured by seamless or electric-weld processes.  The grade designation gives an indication of the material yield strength.  For example, an L80 grade indicates the material has </w:t>
      </w:r>
      <w:proofErr w:type="gramStart"/>
      <w:r w:rsidR="002633DC">
        <w:t>a minimum</w:t>
      </w:r>
      <w:proofErr w:type="gramEnd"/>
      <w:r w:rsidR="002633DC">
        <w:t xml:space="preserve"> yield strength of 80 </w:t>
      </w:r>
      <w:proofErr w:type="spellStart"/>
      <w:r w:rsidR="002633DC">
        <w:t>ksi</w:t>
      </w:r>
      <w:proofErr w:type="spellEnd"/>
      <w:r w:rsidR="002633DC">
        <w:t>.  Casing outer diameter (OD)</w:t>
      </w:r>
      <w:r w:rsidR="00991395">
        <w:t xml:space="preserve">, wall thickness, and </w:t>
      </w:r>
      <w:r w:rsidR="002633DC">
        <w:t xml:space="preserve">weight/foot </w:t>
      </w:r>
      <w:r w:rsidR="005F1E88">
        <w:t>give the casing program designer information</w:t>
      </w:r>
      <w:r w:rsidR="002633DC">
        <w:t xml:space="preserve"> </w:t>
      </w:r>
      <w:r w:rsidR="00991395">
        <w:t>about size.  Three types of threaded joints are available for coupling.</w:t>
      </w:r>
    </w:p>
    <w:p w:rsidR="00AC0B89" w:rsidRDefault="00AC0B89" w:rsidP="00AC0B89">
      <w:pPr>
        <w:pStyle w:val="Heading4"/>
      </w:pPr>
      <w:r>
        <w:t xml:space="preserve">Material </w:t>
      </w:r>
      <w:r w:rsidR="002633DC">
        <w:t>s</w:t>
      </w:r>
      <w:r>
        <w:t>election</w:t>
      </w:r>
    </w:p>
    <w:p w:rsidR="00AC0B89" w:rsidRDefault="00014C74" w:rsidP="00AC0B89">
      <w:r>
        <w:t xml:space="preserve">The type of casing chosen depends on the subsurface characteristics such as pressure and temperature.  </w:t>
      </w:r>
      <w:r w:rsidR="00AC0B89">
        <w:t xml:space="preserve">Casing </w:t>
      </w:r>
      <w:r w:rsidR="00FB241D">
        <w:t xml:space="preserve">characteristics </w:t>
      </w:r>
      <w:r w:rsidR="00AC0B89">
        <w:t xml:space="preserve">including material properties and manufacturing processes must be carefully chosen for the expected service conditions.  </w:t>
      </w:r>
      <w:r w:rsidR="00FB241D">
        <w:t>Several key e</w:t>
      </w:r>
      <w:r w:rsidR="00AC0B89">
        <w:t>nvironmental risks and consequences to</w:t>
      </w:r>
      <w:r w:rsidR="00FB241D">
        <w:t xml:space="preserve"> casing that should be considered are listed in</w:t>
      </w:r>
      <w:r w:rsidR="00D01CB1">
        <w:t xml:space="preserve"> </w:t>
      </w:r>
      <w:r w:rsidR="00D01CB1">
        <w:fldChar w:fldCharType="begin"/>
      </w:r>
      <w:r w:rsidR="00D01CB1">
        <w:instrText xml:space="preserve"> REF _Ref379383765 \h </w:instrText>
      </w:r>
      <w:r w:rsidR="00D01CB1">
        <w:fldChar w:fldCharType="separate"/>
      </w:r>
      <w:r w:rsidR="003129FA">
        <w:t xml:space="preserve">Table </w:t>
      </w:r>
      <w:r w:rsidR="003129FA">
        <w:rPr>
          <w:noProof/>
        </w:rPr>
        <w:t>2</w:t>
      </w:r>
      <w:r w:rsidR="00D01CB1">
        <w:fldChar w:fldCharType="end"/>
      </w:r>
      <w:r w:rsidR="00FB241D">
        <w:t xml:space="preserve"> </w:t>
      </w:r>
      <w:r w:rsidR="00C74715">
        <w:fldChar w:fldCharType="begin"/>
      </w:r>
      <w:r w:rsidR="00DE71EA">
        <w:instrText xml:space="preserve"> ADDIN EN.CITE &lt;EndNote&gt;&lt;Cite&gt;&lt;Author&gt;Bellarby&lt;/Author&gt;&lt;Year&gt;2009&lt;/Year&gt;&lt;RecNum&gt;408&lt;/RecNum&gt;&lt;DisplayText&gt;[3]&lt;/DisplayText&gt;&lt;record&gt;&lt;rec-number&gt;408&lt;/rec-number&gt;&lt;foreign-keys&gt;&lt;key app="EN" db-id="rwzxp2sses9f5deexw8xe0tjf5f2wep0epv9"&gt;408&lt;/key&gt;&lt;/foreign-keys&gt;&lt;ref-type name="Book"&gt;6&lt;/ref-type&gt;&lt;contributors&gt;&lt;authors&gt;&lt;author&gt;Bellarby, Jonathan&lt;/author&gt;&lt;/authors&gt;&lt;/contributors&gt;&lt;titles&gt;&lt;title&gt;Well completion design&lt;/title&gt;&lt;secondary-title&gt;Developments in petroleum science,&lt;/secondary-title&gt;&lt;/titles&gt;&lt;pages&gt;xiii, 711 p.&lt;/pages&gt;&lt;number&gt;56&lt;/number&gt;&lt;edition&gt;1st&lt;/edition&gt;&lt;keywords&gt;&lt;keyword&gt;Oil well completion.&lt;/keyword&gt;&lt;/keywords&gt;&lt;dates&gt;&lt;year&gt;2009&lt;/year&gt;&lt;/dates&gt;&lt;pub-location&gt;Amsterdam, Netherlands ; Boston, Mass.&lt;/pub-location&gt;&lt;publisher&gt;Elsevier&lt;/publisher&gt;&lt;isbn&gt;9780444532107&amp;#xD;0444532102&amp;#xD;0376-7361 ;&lt;/isbn&gt;&lt;accession-num&gt;17200805&lt;/accession-num&gt;&lt;call-num&gt;Jefferson or Adams Building Reading Rooms TN871.2; .B45 2009&lt;/call-num&gt;&lt;urls&gt;&lt;/urls&gt;&lt;/record&gt;&lt;/Cite&gt;&lt;/EndNote&gt;</w:instrText>
      </w:r>
      <w:r w:rsidR="00C74715">
        <w:fldChar w:fldCharType="separate"/>
      </w:r>
      <w:r w:rsidR="00DE71EA">
        <w:rPr>
          <w:noProof/>
        </w:rPr>
        <w:t>[</w:t>
      </w:r>
      <w:hyperlink w:anchor="_ENREF_3" w:tooltip="Bellarby, 2009 #408" w:history="1">
        <w:r w:rsidR="00817F40">
          <w:rPr>
            <w:noProof/>
          </w:rPr>
          <w:t>3</w:t>
        </w:r>
      </w:hyperlink>
      <w:r w:rsidR="00DE71EA">
        <w:rPr>
          <w:noProof/>
        </w:rPr>
        <w:t>]</w:t>
      </w:r>
      <w:r w:rsidR="00C74715">
        <w:fldChar w:fldCharType="end"/>
      </w:r>
      <w:r w:rsidR="00AC0B89">
        <w:t>:</w:t>
      </w:r>
    </w:p>
    <w:p w:rsidR="00AC0B89" w:rsidRDefault="00AC0B89" w:rsidP="00AC0B89">
      <w:pPr>
        <w:pStyle w:val="Caption"/>
      </w:pPr>
      <w:bookmarkStart w:id="5" w:name="_Ref379365226"/>
      <w:bookmarkStart w:id="6" w:name="_Ref379383765"/>
      <w:proofErr w:type="gramStart"/>
      <w:r>
        <w:t xml:space="preserve">Table </w:t>
      </w:r>
      <w:r w:rsidR="00D14AFE">
        <w:fldChar w:fldCharType="begin"/>
      </w:r>
      <w:r w:rsidR="00D14AFE">
        <w:instrText xml:space="preserve"> SEQ Table \* ARABIC </w:instrText>
      </w:r>
      <w:r w:rsidR="00D14AFE">
        <w:fldChar w:fldCharType="separate"/>
      </w:r>
      <w:r w:rsidR="003129FA">
        <w:rPr>
          <w:noProof/>
        </w:rPr>
        <w:t>2</w:t>
      </w:r>
      <w:r w:rsidR="00D14AFE">
        <w:rPr>
          <w:noProof/>
        </w:rPr>
        <w:fldChar w:fldCharType="end"/>
      </w:r>
      <w:bookmarkEnd w:id="5"/>
      <w:bookmarkEnd w:id="6"/>
      <w:r>
        <w:t>.</w:t>
      </w:r>
      <w:proofErr w:type="gramEnd"/>
      <w:r>
        <w:t xml:space="preserve">  Material selection service conditions criteria </w:t>
      </w:r>
      <w:r w:rsidR="00C74715">
        <w:fldChar w:fldCharType="begin"/>
      </w:r>
      <w:r w:rsidR="00DE71EA">
        <w:instrText xml:space="preserve"> ADDIN EN.CITE &lt;EndNote&gt;&lt;Cite&gt;&lt;Author&gt;Bellarby&lt;/Author&gt;&lt;Year&gt;2009&lt;/Year&gt;&lt;RecNum&gt;408&lt;/RecNum&gt;&lt;DisplayText&gt;[3]&lt;/DisplayText&gt;&lt;record&gt;&lt;rec-number&gt;408&lt;/rec-number&gt;&lt;foreign-keys&gt;&lt;key app="EN" db-id="rwzxp2sses9f5deexw8xe0tjf5f2wep0epv9"&gt;408&lt;/key&gt;&lt;/foreign-keys&gt;&lt;ref-type name="Book"&gt;6&lt;/ref-type&gt;&lt;contributors&gt;&lt;authors&gt;&lt;author&gt;Bellarby, Jonathan&lt;/author&gt;&lt;/authors&gt;&lt;/contributors&gt;&lt;titles&gt;&lt;title&gt;Well completion design&lt;/title&gt;&lt;secondary-title&gt;Developments in petroleum science,&lt;/secondary-title&gt;&lt;/titles&gt;&lt;pages&gt;xiii, 711 p.&lt;/pages&gt;&lt;number&gt;56&lt;/number&gt;&lt;edition&gt;1st&lt;/edition&gt;&lt;keywords&gt;&lt;keyword&gt;Oil well completion.&lt;/keyword&gt;&lt;/keywords&gt;&lt;dates&gt;&lt;year&gt;2009&lt;/year&gt;&lt;/dates&gt;&lt;pub-location&gt;Amsterdam, Netherlands ; Boston, Mass.&lt;/pub-location&gt;&lt;publisher&gt;Elsevier&lt;/publisher&gt;&lt;isbn&gt;9780444532107&amp;#xD;0444532102&amp;#xD;0376-7361 ;&lt;/isbn&gt;&lt;accession-num&gt;17200805&lt;/accession-num&gt;&lt;call-num&gt;Jefferson or Adams Building Reading Rooms TN871.2; .B45 2009&lt;/call-num&gt;&lt;urls&gt;&lt;/urls&gt;&lt;/record&gt;&lt;/Cite&gt;&lt;/EndNote&gt;</w:instrText>
      </w:r>
      <w:r w:rsidR="00C74715">
        <w:fldChar w:fldCharType="separate"/>
      </w:r>
      <w:r w:rsidR="00DE71EA">
        <w:rPr>
          <w:noProof/>
        </w:rPr>
        <w:t>[</w:t>
      </w:r>
      <w:hyperlink w:anchor="_ENREF_3" w:tooltip="Bellarby, 2009 #408" w:history="1">
        <w:r w:rsidR="00817F40">
          <w:rPr>
            <w:noProof/>
          </w:rPr>
          <w:t>3</w:t>
        </w:r>
      </w:hyperlink>
      <w:r w:rsidR="00DE71EA">
        <w:rPr>
          <w:noProof/>
        </w:rPr>
        <w:t>]</w:t>
      </w:r>
      <w:r w:rsidR="00C74715">
        <w:fldChar w:fldCharType="end"/>
      </w:r>
    </w:p>
    <w:tbl>
      <w:tblPr>
        <w:tblStyle w:val="LightList-Accent1"/>
        <w:tblW w:w="0" w:type="auto"/>
        <w:tblLook w:val="0420" w:firstRow="1" w:lastRow="0" w:firstColumn="0" w:lastColumn="0" w:noHBand="0" w:noVBand="1"/>
      </w:tblPr>
      <w:tblGrid>
        <w:gridCol w:w="3528"/>
        <w:gridCol w:w="6048"/>
      </w:tblGrid>
      <w:tr w:rsidR="00FB241D" w:rsidTr="00FB241D">
        <w:trPr>
          <w:cnfStyle w:val="100000000000" w:firstRow="1" w:lastRow="0" w:firstColumn="0" w:lastColumn="0" w:oddVBand="0" w:evenVBand="0" w:oddHBand="0" w:evenHBand="0" w:firstRowFirstColumn="0" w:firstRowLastColumn="0" w:lastRowFirstColumn="0" w:lastRowLastColumn="0"/>
        </w:trPr>
        <w:tc>
          <w:tcPr>
            <w:tcW w:w="3528" w:type="dxa"/>
          </w:tcPr>
          <w:p w:rsidR="00FB241D" w:rsidRDefault="00FB241D" w:rsidP="00F02C41">
            <w:r>
              <w:t>Condition</w:t>
            </w:r>
          </w:p>
        </w:tc>
        <w:tc>
          <w:tcPr>
            <w:tcW w:w="6048" w:type="dxa"/>
          </w:tcPr>
          <w:p w:rsidR="00FB241D" w:rsidRDefault="00FB241D" w:rsidP="00F02C41">
            <w:r>
              <w:t>Risk</w:t>
            </w:r>
          </w:p>
        </w:tc>
      </w:tr>
      <w:tr w:rsidR="00AC0B89" w:rsidTr="00FB241D">
        <w:trPr>
          <w:cnfStyle w:val="000000100000" w:firstRow="0" w:lastRow="0" w:firstColumn="0" w:lastColumn="0" w:oddVBand="0" w:evenVBand="0" w:oddHBand="1" w:evenHBand="0" w:firstRowFirstColumn="0" w:firstRowLastColumn="0" w:lastRowFirstColumn="0" w:lastRowLastColumn="0"/>
        </w:trPr>
        <w:tc>
          <w:tcPr>
            <w:tcW w:w="3528" w:type="dxa"/>
          </w:tcPr>
          <w:p w:rsidR="00AC0B89" w:rsidRDefault="00AC0B89" w:rsidP="00F02C41">
            <w:r>
              <w:t>Flow wetted</w:t>
            </w:r>
          </w:p>
        </w:tc>
        <w:tc>
          <w:tcPr>
            <w:tcW w:w="6048" w:type="dxa"/>
          </w:tcPr>
          <w:p w:rsidR="00AC0B89" w:rsidRDefault="00AC0B89" w:rsidP="00F02C41">
            <w:r>
              <w:t>Continuous exposure to production</w:t>
            </w:r>
          </w:p>
        </w:tc>
      </w:tr>
      <w:tr w:rsidR="00AC0B89" w:rsidTr="00FB241D">
        <w:tc>
          <w:tcPr>
            <w:tcW w:w="3528" w:type="dxa"/>
          </w:tcPr>
          <w:p w:rsidR="00AC0B89" w:rsidRDefault="00AC0B89" w:rsidP="00F02C41">
            <w:r>
              <w:t>Stagnant production conditions</w:t>
            </w:r>
          </w:p>
        </w:tc>
        <w:tc>
          <w:tcPr>
            <w:tcW w:w="6048" w:type="dxa"/>
          </w:tcPr>
          <w:p w:rsidR="00AC0B89" w:rsidRDefault="00AC0B89" w:rsidP="00F02C41">
            <w:r>
              <w:t>Exposure to production fluids that are not flowing</w:t>
            </w:r>
          </w:p>
        </w:tc>
      </w:tr>
      <w:tr w:rsidR="00AC0B89" w:rsidTr="00FB241D">
        <w:trPr>
          <w:cnfStyle w:val="000000100000" w:firstRow="0" w:lastRow="0" w:firstColumn="0" w:lastColumn="0" w:oddVBand="0" w:evenVBand="0" w:oddHBand="1" w:evenHBand="0" w:firstRowFirstColumn="0" w:firstRowLastColumn="0" w:lastRowFirstColumn="0" w:lastRowLastColumn="0"/>
        </w:trPr>
        <w:tc>
          <w:tcPr>
            <w:tcW w:w="3528" w:type="dxa"/>
          </w:tcPr>
          <w:p w:rsidR="00AC0B89" w:rsidRDefault="00AC0B89" w:rsidP="00F02C41">
            <w:r>
              <w:t>Completion fluid exposure</w:t>
            </w:r>
          </w:p>
        </w:tc>
        <w:tc>
          <w:tcPr>
            <w:tcW w:w="6048" w:type="dxa"/>
          </w:tcPr>
          <w:p w:rsidR="00AC0B89" w:rsidRDefault="00AC0B89" w:rsidP="00F02C41">
            <w:r>
              <w:t>No production fluids, corrosive brines in the presence of oxygen or other contaminants</w:t>
            </w:r>
          </w:p>
        </w:tc>
      </w:tr>
      <w:tr w:rsidR="00AC0B89" w:rsidTr="00FB241D">
        <w:tc>
          <w:tcPr>
            <w:tcW w:w="3528" w:type="dxa"/>
          </w:tcPr>
          <w:p w:rsidR="00AC0B89" w:rsidRDefault="00AC0B89" w:rsidP="00F02C41">
            <w:r>
              <w:t>Stressed</w:t>
            </w:r>
          </w:p>
        </w:tc>
        <w:tc>
          <w:tcPr>
            <w:tcW w:w="6048" w:type="dxa"/>
          </w:tcPr>
          <w:p w:rsidR="00AC0B89" w:rsidRDefault="00AC0B89" w:rsidP="00F02C41">
            <w:r>
              <w:t>Under tensile or burst stress, susceptible to stress corrosion cracking</w:t>
            </w:r>
          </w:p>
        </w:tc>
      </w:tr>
    </w:tbl>
    <w:p w:rsidR="0020505F" w:rsidRDefault="0020505F" w:rsidP="00AC0B89"/>
    <w:p w:rsidR="00AC0B89" w:rsidRDefault="00AC0B89" w:rsidP="00AC0B89">
      <w:r>
        <w:t xml:space="preserve">Nearly all metal used in completions is some form of steel with occasional niche application of titanium </w:t>
      </w:r>
      <w:r w:rsidR="00DC3980">
        <w:t xml:space="preserve">which is immune to corrosion and resistant to </w:t>
      </w:r>
      <w:r w:rsidR="002A2FE8">
        <w:t>hydrogen embrit</w:t>
      </w:r>
      <w:r w:rsidR="00764262">
        <w:t>t</w:t>
      </w:r>
      <w:r w:rsidR="002A2FE8">
        <w:t>l</w:t>
      </w:r>
      <w:r w:rsidR="00764262">
        <w:t>e</w:t>
      </w:r>
      <w:r w:rsidR="002A2FE8">
        <w:t xml:space="preserve">ment </w:t>
      </w:r>
      <w:r w:rsidR="00DC3980">
        <w:t xml:space="preserve"> in geothermal brines </w:t>
      </w:r>
      <w:r w:rsidR="00DC3980">
        <w:fldChar w:fldCharType="begin"/>
      </w:r>
      <w:r w:rsidR="00DC3980">
        <w:instrText xml:space="preserve"> ADDIN EN.CITE &lt;EndNote&gt;&lt;Cite&gt;&lt;Author&gt;Bellarby&lt;/Author&gt;&lt;Year&gt;2009&lt;/Year&gt;&lt;RecNum&gt;408&lt;/RecNum&gt;&lt;DisplayText&gt;[3]&lt;/DisplayText&gt;&lt;record&gt;&lt;rec-number&gt;408&lt;/rec-number&gt;&lt;foreign-keys&gt;&lt;key app="EN" db-id="rwzxp2sses9f5deexw8xe0tjf5f2wep0epv9"&gt;408&lt;/key&gt;&lt;/foreign-keys&gt;&lt;ref-type name="Book"&gt;6&lt;/ref-type&gt;&lt;contributors&gt;&lt;authors&gt;&lt;author&gt;Bellarby, Jonathan&lt;/author&gt;&lt;/authors&gt;&lt;/contributors&gt;&lt;titles&gt;&lt;title&gt;Well completion design&lt;/title&gt;&lt;secondary-title&gt;Developments in petroleum science,&lt;/secondary-title&gt;&lt;/titles&gt;&lt;pages&gt;xiii, 711 p.&lt;/pages&gt;&lt;number&gt;56&lt;/number&gt;&lt;edition&gt;1st&lt;/edition&gt;&lt;keywords&gt;&lt;keyword&gt;Oil well completion.&lt;/keyword&gt;&lt;/keywords&gt;&lt;dates&gt;&lt;year&gt;2009&lt;/year&gt;&lt;/dates&gt;&lt;pub-location&gt;Amsterdam, Netherlands ; Boston, Mass.&lt;/pub-location&gt;&lt;publisher&gt;Elsevier&lt;/publisher&gt;&lt;isbn&gt;9780444532107&amp;#xD;0444532102&amp;#xD;0376-7361 ;&lt;/isbn&gt;&lt;accession-num&gt;17200805&lt;/accession-num&gt;&lt;call-num&gt;Jefferson or Adams Building Reading Rooms TN871.2; .B45 2009&lt;/call-num&gt;&lt;urls&gt;&lt;/urls&gt;&lt;/record&gt;&lt;/Cite&gt;&lt;/EndNote&gt;</w:instrText>
      </w:r>
      <w:r w:rsidR="00DC3980">
        <w:fldChar w:fldCharType="separate"/>
      </w:r>
      <w:r w:rsidR="00DC3980">
        <w:rPr>
          <w:noProof/>
        </w:rPr>
        <w:t>[</w:t>
      </w:r>
      <w:hyperlink w:anchor="_ENREF_3" w:tooltip="Bellarby, 2009 #408" w:history="1">
        <w:r w:rsidR="00817F40">
          <w:rPr>
            <w:noProof/>
          </w:rPr>
          <w:t>3</w:t>
        </w:r>
      </w:hyperlink>
      <w:r w:rsidR="00DC3980">
        <w:rPr>
          <w:noProof/>
        </w:rPr>
        <w:t>]</w:t>
      </w:r>
      <w:r w:rsidR="00DC3980">
        <w:fldChar w:fldCharType="end"/>
      </w:r>
      <w:r w:rsidR="00DC3980">
        <w:t xml:space="preserve">.  </w:t>
      </w:r>
      <w:r>
        <w:t>Low alloy steels are the starting point for material selection.  Completion components typically use the American Iron and Steel Institute (AISI) four-digit system for classifying low-alloy steels.  The Unified Numbering System (UNS) system is also commonly used.</w:t>
      </w:r>
    </w:p>
    <w:p w:rsidR="00AC0B89" w:rsidRDefault="00AC0B89" w:rsidP="00AC0B89">
      <w:r>
        <w:t xml:space="preserve">Alloy steels (metal concentration other than iron &gt; 5%) are known as corrosion-resistant alloys (CRA’s).  Alloying elements are added to achieve desired properties of casing materials.  Elements such chromium </w:t>
      </w:r>
      <w:proofErr w:type="gramStart"/>
      <w:r>
        <w:t>help</w:t>
      </w:r>
      <w:proofErr w:type="gramEnd"/>
      <w:r>
        <w:t xml:space="preserve"> to improve corrosion resistance.  Nickel improves toughness as well as corrosion resistance.</w:t>
      </w:r>
      <w:r w:rsidR="000A187E">
        <w:t xml:space="preserve">  </w:t>
      </w:r>
      <w:r w:rsidR="000A187E">
        <w:fldChar w:fldCharType="begin"/>
      </w:r>
      <w:r w:rsidR="000A187E">
        <w:instrText xml:space="preserve"> REF _Ref379364778 \h </w:instrText>
      </w:r>
      <w:r w:rsidR="000A187E">
        <w:fldChar w:fldCharType="separate"/>
      </w:r>
      <w:r w:rsidR="003129FA">
        <w:t xml:space="preserve">Table </w:t>
      </w:r>
      <w:r w:rsidR="003129FA">
        <w:rPr>
          <w:noProof/>
        </w:rPr>
        <w:t>3</w:t>
      </w:r>
      <w:r w:rsidR="000A187E">
        <w:fldChar w:fldCharType="end"/>
      </w:r>
      <w:r w:rsidR="000A187E">
        <w:t xml:space="preserve"> lists common alloying elements and their effect on the bulk properties of the material.</w:t>
      </w:r>
    </w:p>
    <w:p w:rsidR="000A187E" w:rsidRDefault="000A187E" w:rsidP="000A187E">
      <w:pPr>
        <w:pStyle w:val="Caption"/>
      </w:pPr>
      <w:bookmarkStart w:id="7" w:name="_Ref379364778"/>
      <w:proofErr w:type="gramStart"/>
      <w:r>
        <w:t xml:space="preserve">Table </w:t>
      </w:r>
      <w:r w:rsidR="00D14AFE">
        <w:fldChar w:fldCharType="begin"/>
      </w:r>
      <w:r w:rsidR="00D14AFE">
        <w:instrText xml:space="preserve"> SEQ Table \* ARABIC </w:instrText>
      </w:r>
      <w:r w:rsidR="00D14AFE">
        <w:fldChar w:fldCharType="separate"/>
      </w:r>
      <w:r w:rsidR="003129FA">
        <w:rPr>
          <w:noProof/>
        </w:rPr>
        <w:t>3</w:t>
      </w:r>
      <w:r w:rsidR="00D14AFE">
        <w:rPr>
          <w:noProof/>
        </w:rPr>
        <w:fldChar w:fldCharType="end"/>
      </w:r>
      <w:bookmarkEnd w:id="7"/>
      <w:r>
        <w:t>.</w:t>
      </w:r>
      <w:proofErr w:type="gramEnd"/>
      <w:r>
        <w:t xml:space="preserve">  Alloying elements for steel </w:t>
      </w:r>
      <w:r w:rsidR="00C74715">
        <w:fldChar w:fldCharType="begin"/>
      </w:r>
      <w:r w:rsidR="00DE71EA">
        <w:instrText xml:space="preserve"> ADDIN EN.CITE &lt;EndNote&gt;&lt;Cite ExcludeYear="1"&gt;&lt;Author&gt;Bellarby&lt;/Author&gt;&lt;RecNum&gt;408&lt;/RecNum&gt;&lt;DisplayText&gt;[3]&lt;/DisplayText&gt;&lt;record&gt;&lt;rec-number&gt;408&lt;/rec-number&gt;&lt;foreign-keys&gt;&lt;key app="EN" db-id="rwzxp2sses9f5deexw8xe0tjf5f2wep0epv9"&gt;408&lt;/key&gt;&lt;/foreign-keys&gt;&lt;ref-type name="Book"&gt;6&lt;/ref-type&gt;&lt;contributors&gt;&lt;authors&gt;&lt;author&gt;Bellarby, Jonathan&lt;/author&gt;&lt;/authors&gt;&lt;/contributors&gt;&lt;titles&gt;&lt;title&gt;Well completion design&lt;/title&gt;&lt;secondary-title&gt;Developments in petroleum science,&lt;/secondary-title&gt;&lt;/titles&gt;&lt;pages&gt;xiii, 711 p.&lt;/pages&gt;&lt;number&gt;56&lt;/number&gt;&lt;edition&gt;1st&lt;/edition&gt;&lt;keywords&gt;&lt;keyword&gt;Oil well completion.&lt;/keyword&gt;&lt;/keywords&gt;&lt;dates&gt;&lt;year&gt;2009&lt;/year&gt;&lt;/dates&gt;&lt;pub-location&gt;Amsterdam, Netherlands ; Boston, Mass.&lt;/pub-location&gt;&lt;publisher&gt;Elsevier&lt;/publisher&gt;&lt;isbn&gt;9780444532107&amp;#xD;0444532102&amp;#xD;0376-7361 ;&lt;/isbn&gt;&lt;accession-num&gt;17200805&lt;/accession-num&gt;&lt;call-num&gt;Jefferson or Adams Building Reading Rooms TN871.2; .B45 2009&lt;/call-num&gt;&lt;urls&gt;&lt;/urls&gt;&lt;/record&gt;&lt;/Cite&gt;&lt;/EndNote&gt;</w:instrText>
      </w:r>
      <w:r w:rsidR="00C74715">
        <w:fldChar w:fldCharType="separate"/>
      </w:r>
      <w:r w:rsidR="00DE71EA">
        <w:rPr>
          <w:noProof/>
        </w:rPr>
        <w:t>[</w:t>
      </w:r>
      <w:hyperlink w:anchor="_ENREF_3" w:tooltip="Bellarby, 2009 #408" w:history="1">
        <w:r w:rsidR="00817F40">
          <w:rPr>
            <w:noProof/>
          </w:rPr>
          <w:t>3</w:t>
        </w:r>
      </w:hyperlink>
      <w:r w:rsidR="00DE71EA">
        <w:rPr>
          <w:noProof/>
        </w:rPr>
        <w:t>]</w:t>
      </w:r>
      <w:r w:rsidR="00C74715">
        <w:fldChar w:fldCharType="end"/>
      </w:r>
    </w:p>
    <w:tbl>
      <w:tblPr>
        <w:tblStyle w:val="LightList-Accent1"/>
        <w:tblW w:w="0" w:type="auto"/>
        <w:tblLook w:val="0420" w:firstRow="1" w:lastRow="0" w:firstColumn="0" w:lastColumn="0" w:noHBand="0" w:noVBand="1"/>
      </w:tblPr>
      <w:tblGrid>
        <w:gridCol w:w="3798"/>
        <w:gridCol w:w="5778"/>
      </w:tblGrid>
      <w:tr w:rsidR="00AC0B89" w:rsidTr="00FB241D">
        <w:trPr>
          <w:cnfStyle w:val="100000000000" w:firstRow="1" w:lastRow="0" w:firstColumn="0" w:lastColumn="0" w:oddVBand="0" w:evenVBand="0" w:oddHBand="0" w:evenHBand="0" w:firstRowFirstColumn="0" w:firstRowLastColumn="0" w:lastRowFirstColumn="0" w:lastRowLastColumn="0"/>
        </w:trPr>
        <w:tc>
          <w:tcPr>
            <w:tcW w:w="3798" w:type="dxa"/>
          </w:tcPr>
          <w:p w:rsidR="00AC0B89" w:rsidRDefault="00AC0B89" w:rsidP="00F02C41">
            <w:r>
              <w:t>Alloying Element</w:t>
            </w:r>
          </w:p>
        </w:tc>
        <w:tc>
          <w:tcPr>
            <w:tcW w:w="5778" w:type="dxa"/>
          </w:tcPr>
          <w:p w:rsidR="00AC0B89" w:rsidRDefault="00AC0B89" w:rsidP="00F02C41">
            <w:r>
              <w:t>Purpose</w:t>
            </w:r>
          </w:p>
        </w:tc>
      </w:tr>
      <w:tr w:rsidR="00AC0B89" w:rsidTr="00FB241D">
        <w:trPr>
          <w:cnfStyle w:val="000000100000" w:firstRow="0" w:lastRow="0" w:firstColumn="0" w:lastColumn="0" w:oddVBand="0" w:evenVBand="0" w:oddHBand="1" w:evenHBand="0" w:firstRowFirstColumn="0" w:firstRowLastColumn="0" w:lastRowFirstColumn="0" w:lastRowLastColumn="0"/>
        </w:trPr>
        <w:tc>
          <w:tcPr>
            <w:tcW w:w="3798" w:type="dxa"/>
          </w:tcPr>
          <w:p w:rsidR="00AC0B89" w:rsidRDefault="00AC0B89" w:rsidP="00F02C41">
            <w:r>
              <w:t>Chromium</w:t>
            </w:r>
          </w:p>
        </w:tc>
        <w:tc>
          <w:tcPr>
            <w:tcW w:w="5778" w:type="dxa"/>
          </w:tcPr>
          <w:p w:rsidR="00AC0B89" w:rsidRDefault="00AC0B89" w:rsidP="00F02C41">
            <w:r>
              <w:t>Improve corrosion resistance</w:t>
            </w:r>
          </w:p>
        </w:tc>
      </w:tr>
      <w:tr w:rsidR="00AC0B89" w:rsidTr="00FB241D">
        <w:tc>
          <w:tcPr>
            <w:tcW w:w="3798" w:type="dxa"/>
          </w:tcPr>
          <w:p w:rsidR="00AC0B89" w:rsidRDefault="00AC0B89" w:rsidP="00F02C41">
            <w:r>
              <w:t>Nickel</w:t>
            </w:r>
          </w:p>
        </w:tc>
        <w:tc>
          <w:tcPr>
            <w:tcW w:w="5778" w:type="dxa"/>
          </w:tcPr>
          <w:p w:rsidR="00AC0B89" w:rsidRDefault="00AC0B89" w:rsidP="00F02C41">
            <w:r>
              <w:t>Improve toughness, useful in presence of HS</w:t>
            </w:r>
          </w:p>
        </w:tc>
      </w:tr>
      <w:tr w:rsidR="00AC0B89" w:rsidTr="00FB241D">
        <w:trPr>
          <w:cnfStyle w:val="000000100000" w:firstRow="0" w:lastRow="0" w:firstColumn="0" w:lastColumn="0" w:oddVBand="0" w:evenVBand="0" w:oddHBand="1" w:evenHBand="0" w:firstRowFirstColumn="0" w:firstRowLastColumn="0" w:lastRowFirstColumn="0" w:lastRowLastColumn="0"/>
        </w:trPr>
        <w:tc>
          <w:tcPr>
            <w:tcW w:w="3798" w:type="dxa"/>
          </w:tcPr>
          <w:p w:rsidR="00AC0B89" w:rsidRDefault="00AC0B89" w:rsidP="00F02C41">
            <w:r>
              <w:t>Molybdenum</w:t>
            </w:r>
          </w:p>
        </w:tc>
        <w:tc>
          <w:tcPr>
            <w:tcW w:w="5778" w:type="dxa"/>
          </w:tcPr>
          <w:p w:rsidR="00AC0B89" w:rsidRDefault="00AC0B89" w:rsidP="00F02C41">
            <w:r>
              <w:t>Increase high-temperature strength, resistance to pitting</w:t>
            </w:r>
          </w:p>
        </w:tc>
      </w:tr>
      <w:tr w:rsidR="00AC0B89" w:rsidTr="00FB241D">
        <w:tc>
          <w:tcPr>
            <w:tcW w:w="3798" w:type="dxa"/>
          </w:tcPr>
          <w:p w:rsidR="00AC0B89" w:rsidRDefault="00AC0B89" w:rsidP="00F02C41">
            <w:r>
              <w:t>Manganese</w:t>
            </w:r>
          </w:p>
        </w:tc>
        <w:tc>
          <w:tcPr>
            <w:tcW w:w="5778" w:type="dxa"/>
          </w:tcPr>
          <w:p w:rsidR="00AC0B89" w:rsidRDefault="00AC0B89" w:rsidP="00F02C41">
            <w:r>
              <w:t>Increases hardenability</w:t>
            </w:r>
          </w:p>
        </w:tc>
      </w:tr>
      <w:tr w:rsidR="00AC0B89" w:rsidTr="00FB241D">
        <w:trPr>
          <w:cnfStyle w:val="000000100000" w:firstRow="0" w:lastRow="0" w:firstColumn="0" w:lastColumn="0" w:oddVBand="0" w:evenVBand="0" w:oddHBand="1" w:evenHBand="0" w:firstRowFirstColumn="0" w:firstRowLastColumn="0" w:lastRowFirstColumn="0" w:lastRowLastColumn="0"/>
        </w:trPr>
        <w:tc>
          <w:tcPr>
            <w:tcW w:w="3798" w:type="dxa"/>
          </w:tcPr>
          <w:p w:rsidR="00AC0B89" w:rsidRDefault="00AC0B89" w:rsidP="00F02C41">
            <w:r>
              <w:lastRenderedPageBreak/>
              <w:t>Titanium</w:t>
            </w:r>
          </w:p>
        </w:tc>
        <w:tc>
          <w:tcPr>
            <w:tcW w:w="5778" w:type="dxa"/>
          </w:tcPr>
          <w:p w:rsidR="00AC0B89" w:rsidRDefault="00AC0B89" w:rsidP="00F02C41">
            <w:r>
              <w:t>Strengthen steel</w:t>
            </w:r>
          </w:p>
        </w:tc>
      </w:tr>
    </w:tbl>
    <w:p w:rsidR="0020505F" w:rsidRDefault="0020505F" w:rsidP="00AC0B89"/>
    <w:p w:rsidR="0020505F" w:rsidRDefault="00AC0B89" w:rsidP="00AC0B89">
      <w:r>
        <w:t>A commonly used alloy recognized by API is L80 13Cr.  It is similar to L80 carbon steel but with 13% chromium.  L80 13Cr is common in many offshore wells</w:t>
      </w:r>
      <w:r w:rsidR="00991395">
        <w:t xml:space="preserve"> and geothermal</w:t>
      </w:r>
      <w:r w:rsidR="000A187E">
        <w:t xml:space="preserve">.  </w:t>
      </w:r>
      <w:r>
        <w:t>Nickel alloys are used for high-strength high corrosion resistant applications.</w:t>
      </w:r>
    </w:p>
    <w:p w:rsidR="00AC0B89" w:rsidRDefault="00AC0B89" w:rsidP="00AC0B89">
      <w:r>
        <w:t xml:space="preserve">Coatings and liners can be used where the cost of corrosion resistant materials is beyond reach.  The liner can be used with relatively inexpensive steel to produce the desired results.  </w:t>
      </w:r>
    </w:p>
    <w:p w:rsidR="006106F0" w:rsidRDefault="006106F0" w:rsidP="006106F0">
      <w:pPr>
        <w:pStyle w:val="Heading3"/>
      </w:pPr>
      <w:r>
        <w:t>Cementing</w:t>
      </w:r>
    </w:p>
    <w:p w:rsidR="000D1405" w:rsidRDefault="009B6C46" w:rsidP="006106F0">
      <w:r>
        <w:t xml:space="preserve">Primary cementing (cementing the casing and the liner) </w:t>
      </w:r>
      <w:r w:rsidR="004A1658">
        <w:t>is</w:t>
      </w:r>
      <w:r>
        <w:t xml:space="preserve"> the most important operation in the development of a well </w:t>
      </w:r>
      <w:r w:rsidR="00C74715">
        <w:fldChar w:fldCharType="begin"/>
      </w:r>
      <w:r w:rsidR="00817F40">
        <w:instrText xml:space="preserve"> ADDIN EN.CITE &lt;EndNote&gt;&lt;Cite ExcludeYear="1"&gt;&lt;Author&gt;Lyons&lt;/Author&gt;&lt;Year&gt;2005&lt;/Year&gt;&lt;RecNum&gt;406&lt;/RecNum&gt;&lt;DisplayText&gt;[7]&lt;/DisplayText&gt;&lt;record&gt;&lt;rec-number&gt;406&lt;/rec-number&gt;&lt;foreign-keys&gt;&lt;key app="EN" db-id="rwzxp2sses9f5deexw8xe0tjf5f2wep0epv9"&gt;406&lt;/key&gt;&lt;/foreign-keys&gt;&lt;ref-type name="Book"&gt;6&lt;/ref-type&gt;&lt;contributors&gt;&lt;authors&gt;&lt;author&gt;Lyons, William C.&lt;/author&gt;&lt;author&gt;Plisga, Gary J.&lt;/author&gt;&lt;/authors&gt;&lt;/contributors&gt;&lt;titles&gt;&lt;title&gt;Standard handbook of petroleum &amp;amp; natural gas engineering&lt;/title&gt;&lt;/titles&gt;&lt;num-vols&gt;1&lt;/num-vols&gt;&lt;edition&gt;2nd&lt;/edition&gt;&lt;keywords&gt;&lt;keyword&gt;Petroleum engineering.&lt;/keyword&gt;&lt;keyword&gt;Natural gas.&lt;/keyword&gt;&lt;/keywords&gt;&lt;dates&gt;&lt;year&gt;2005&lt;/year&gt;&lt;/dates&gt;&lt;pub-location&gt;Burlington, MA ; Oxford, UK&lt;/pub-location&gt;&lt;publisher&gt;Gulf Professional Pub.&lt;/publisher&gt;&lt;isbn&gt;0750677856 (acid-free paper)&lt;/isbn&gt;&lt;accession-num&gt;13669295&lt;/accession-num&gt;&lt;call-num&gt;Reference - Science Reading Room (Adams, 5th Floor) TN870; .S6233 2005&lt;/call-num&gt;&lt;urls&gt;&lt;related-urls&gt;&lt;url&gt;http://www.loc.gov/catdir/toc/els051/2004056285.html&lt;/url&gt;&lt;url&gt;http://www.loc.gov/catdir/description/els051/2004056285.html&lt;/url&gt;&lt;/related-urls&gt;&lt;/urls&gt;&lt;/record&gt;&lt;/Cite&gt;&lt;/EndNote&gt;</w:instrText>
      </w:r>
      <w:r w:rsidR="00C74715">
        <w:fldChar w:fldCharType="separate"/>
      </w:r>
      <w:r w:rsidR="00817F40">
        <w:rPr>
          <w:noProof/>
        </w:rPr>
        <w:t>[</w:t>
      </w:r>
      <w:hyperlink w:anchor="_ENREF_7" w:tooltip="Lyons, 2005 #406" w:history="1">
        <w:r w:rsidR="00817F40">
          <w:rPr>
            <w:noProof/>
          </w:rPr>
          <w:t>7</w:t>
        </w:r>
      </w:hyperlink>
      <w:r w:rsidR="00817F40">
        <w:rPr>
          <w:noProof/>
        </w:rPr>
        <w:t>]</w:t>
      </w:r>
      <w:r w:rsidR="00C74715">
        <w:fldChar w:fldCharType="end"/>
      </w:r>
      <w:r>
        <w:t xml:space="preserve">.  Cementing is usually performed </w:t>
      </w:r>
      <w:r w:rsidR="00764262">
        <w:t xml:space="preserve">as a part of </w:t>
      </w:r>
      <w:r>
        <w:t xml:space="preserve">drilling </w:t>
      </w:r>
      <w:r w:rsidR="0038246A">
        <w:t>with specialty contractor support</w:t>
      </w:r>
      <w:r>
        <w:t xml:space="preserve">.  Cementing materials vary from </w:t>
      </w:r>
      <w:r w:rsidR="008C2B5B">
        <w:t xml:space="preserve">basic </w:t>
      </w:r>
      <w:r>
        <w:t>Portland to sophisticated specially formulated synthetic or latex cements.</w:t>
      </w:r>
      <w:r w:rsidR="000D1405">
        <w:t xml:space="preserve">  The cement slurry is pumped to specific locations in the well.  </w:t>
      </w:r>
      <w:r w:rsidR="008C2B5B">
        <w:t xml:space="preserve">In geothermal, </w:t>
      </w:r>
      <w:r w:rsidR="00764262">
        <w:t xml:space="preserve">casing and liners </w:t>
      </w:r>
      <w:r w:rsidR="008C2B5B">
        <w:t xml:space="preserve">are </w:t>
      </w:r>
      <w:r w:rsidR="00764262">
        <w:t xml:space="preserve">normally </w:t>
      </w:r>
      <w:r w:rsidR="008C2B5B">
        <w:t xml:space="preserve">cemented to the surface.  </w:t>
      </w:r>
      <w:r w:rsidR="000D1405">
        <w:t>When cured, the cement slurry provides a bond between casing and the wellbore</w:t>
      </w:r>
      <w:r w:rsidR="00F94634">
        <w:t xml:space="preserve"> that controls</w:t>
      </w:r>
      <w:r w:rsidR="000D1405">
        <w:t xml:space="preserve"> the flow of fluids in and around the wellbore.</w:t>
      </w:r>
    </w:p>
    <w:p w:rsidR="0012508C" w:rsidRDefault="0012508C" w:rsidP="006106F0">
      <w:r>
        <w:t xml:space="preserve">In addition to providing structural support to casing, primary cementing also isolates porous formations from the production zone, prevents unwanted sub-surface fluids from </w:t>
      </w:r>
      <w:r w:rsidR="00764262">
        <w:t xml:space="preserve">entering </w:t>
      </w:r>
      <w:r>
        <w:t xml:space="preserve">the producing interval, protects casing from corrosion, and confines abnormal formation pressures. </w:t>
      </w:r>
    </w:p>
    <w:p w:rsidR="0012508C" w:rsidRDefault="007834C1" w:rsidP="006106F0">
      <w:r>
        <w:t>C</w:t>
      </w:r>
      <w:r w:rsidR="0012508C">
        <w:t xml:space="preserve">ementing has a specific purpose for each of the strings described in the previous section.  For conductor casing, cement prevents drilling fluid from circulating outside the casing.  Surface casing is cemented to protect freshwater formations near the surface and provide a structural connection between the casing and formation.  In intermediate casing string, cement seals off abnormal pressure formations.  Production casing is cemented to prevent the mixing of produced and non-produced fluids.  </w:t>
      </w:r>
    </w:p>
    <w:p w:rsidR="009B4A20" w:rsidRDefault="001E1982" w:rsidP="006106F0">
      <w:r>
        <w:t>Cements are divided into nine classes by the American Petroleum Institute (API).</w:t>
      </w:r>
      <w:r w:rsidR="009B4A20">
        <w:t xml:space="preserve">  The classes describe the intended application for each of the cement types.</w:t>
      </w:r>
    </w:p>
    <w:p w:rsidR="005F115F" w:rsidRDefault="005F115F" w:rsidP="005F115F">
      <w:pPr>
        <w:pStyle w:val="Caption"/>
      </w:pPr>
      <w:bookmarkStart w:id="8" w:name="_Ref378857596"/>
      <w:proofErr w:type="gramStart"/>
      <w:r>
        <w:t xml:space="preserve">Table </w:t>
      </w:r>
      <w:r w:rsidR="00D14AFE">
        <w:fldChar w:fldCharType="begin"/>
      </w:r>
      <w:r w:rsidR="00D14AFE">
        <w:instrText xml:space="preserve"> SEQ Table \* ARABIC </w:instrText>
      </w:r>
      <w:r w:rsidR="00D14AFE">
        <w:fldChar w:fldCharType="separate"/>
      </w:r>
      <w:r w:rsidR="003129FA">
        <w:rPr>
          <w:noProof/>
        </w:rPr>
        <w:t>4</w:t>
      </w:r>
      <w:r w:rsidR="00D14AFE">
        <w:rPr>
          <w:noProof/>
        </w:rPr>
        <w:fldChar w:fldCharType="end"/>
      </w:r>
      <w:bookmarkEnd w:id="8"/>
      <w:r>
        <w:t>.</w:t>
      </w:r>
      <w:proofErr w:type="gramEnd"/>
      <w:r>
        <w:t xml:space="preserve"> </w:t>
      </w:r>
      <w:r w:rsidR="00DE71EA">
        <w:rPr>
          <w:noProof/>
        </w:rPr>
        <w:t xml:space="preserve"> API cement classes </w:t>
      </w:r>
      <w:r w:rsidR="00DE71EA">
        <w:rPr>
          <w:noProof/>
        </w:rPr>
        <w:fldChar w:fldCharType="begin"/>
      </w:r>
      <w:r w:rsidR="00817F40">
        <w:rPr>
          <w:noProof/>
        </w:rPr>
        <w:instrText xml:space="preserve"> ADDIN EN.CITE &lt;EndNote&gt;&lt;Cite ExcludeYear="1"&gt;&lt;Author&gt;Lyons&lt;/Author&gt;&lt;Year&gt;2005&lt;/Year&gt;&lt;RecNum&gt;406&lt;/RecNum&gt;&lt;DisplayText&gt;[1, 7]&lt;/DisplayText&gt;&lt;record&gt;&lt;rec-number&gt;406&lt;/rec-number&gt;&lt;foreign-keys&gt;&lt;key app="EN" db-id="rwzxp2sses9f5deexw8xe0tjf5f2wep0epv9"&gt;406&lt;/key&gt;&lt;/foreign-keys&gt;&lt;ref-type name="Book"&gt;6&lt;/ref-type&gt;&lt;contributors&gt;&lt;authors&gt;&lt;author&gt;Lyons, William C.&lt;/author&gt;&lt;author&gt;Plisga, Gary J.&lt;/author&gt;&lt;/authors&gt;&lt;/contributors&gt;&lt;titles&gt;&lt;title&gt;Standard handbook of petroleum &amp;amp; natural gas engineering&lt;/title&gt;&lt;/titles&gt;&lt;num-vols&gt;1&lt;/num-vols&gt;&lt;edition&gt;2nd&lt;/edition&gt;&lt;keywords&gt;&lt;keyword&gt;Petroleum engineering.&lt;/keyword&gt;&lt;keyword&gt;Natural gas.&lt;/keyword&gt;&lt;/keywords&gt;&lt;dates&gt;&lt;year&gt;2005&lt;/year&gt;&lt;/dates&gt;&lt;pub-location&gt;Burlington, MA ; Oxford, UK&lt;/pub-location&gt;&lt;publisher&gt;Gulf Professional Pub.&lt;/publisher&gt;&lt;isbn&gt;0750677856 (acid-free paper)&lt;/isbn&gt;&lt;accession-num&gt;13669295&lt;/accession-num&gt;&lt;call-num&gt;Reference - Science Reading Room (Adams, 5th Floor) TN870; .S6233 2005&lt;/call-num&gt;&lt;urls&gt;&lt;related-urls&gt;&lt;url&gt;http://www.loc.gov/catdir/toc/els051/2004056285.html&lt;/url&gt;&lt;url&gt;http://www.loc.gov/catdir/description/els051/2004056285.html&lt;/url&gt;&lt;/related-urls&gt;&lt;/urls&gt;&lt;/record&gt;&lt;/Cite&gt;&lt;Cite ExcludeYear="1"&gt;&lt;Author&gt;Wan&lt;/Author&gt;&lt;Year&gt;2011&lt;/Year&gt;&lt;RecNum&gt;407&lt;/RecNum&gt;&lt;record&gt;&lt;rec-number&gt;407&lt;/rec-number&gt;&lt;foreign-keys&gt;&lt;key app="EN" db-id="rwzxp2sses9f5deexw8xe0tjf5f2wep0epv9"&gt;407&lt;/key&gt;&lt;/foreign-keys&gt;&lt;ref-type name="Book"&gt;6&lt;/ref-type&gt;&lt;contributors&gt;&lt;authors&gt;&lt;author&gt;Wan, Renpu&lt;/author&gt;&lt;/authors&gt;&lt;/contributors&gt;&lt;titles&gt;&lt;title&gt;Advanced well completion engineering&lt;/title&gt;&lt;/titles&gt;&lt;pages&gt;xx, 715 p.&lt;/pages&gt;&lt;edition&gt;3rd&lt;/edition&gt;&lt;keywords&gt;&lt;keyword&gt;Oil well completion.&lt;/keyword&gt;&lt;/keywords&gt;&lt;dates&gt;&lt;year&gt;2011&lt;/year&gt;&lt;/dates&gt;&lt;pub-location&gt;Waltham, MA&lt;/pub-location&gt;&lt;publisher&gt;Gulf Professional Pub.&lt;/publisher&gt;&lt;isbn&gt;9780123858689 (alk. paper)&lt;/isbn&gt;&lt;accession-num&gt;16677742&lt;/accession-num&gt;&lt;call-num&gt;Jefferson or Adams Building Reading Rooms TN871.2; .R384 2011&lt;/call-num&gt;&lt;urls&gt;&lt;/urls&gt;&lt;/record&gt;&lt;/Cite&gt;&lt;/EndNote&gt;</w:instrText>
      </w:r>
      <w:r w:rsidR="00DE71EA">
        <w:rPr>
          <w:noProof/>
        </w:rPr>
        <w:fldChar w:fldCharType="separate"/>
      </w:r>
      <w:r w:rsidR="00817F40">
        <w:rPr>
          <w:noProof/>
        </w:rPr>
        <w:t>[</w:t>
      </w:r>
      <w:hyperlink w:anchor="_ENREF_1" w:tooltip="Wan, 2011 #407" w:history="1">
        <w:r w:rsidR="00817F40">
          <w:rPr>
            <w:noProof/>
          </w:rPr>
          <w:t>1</w:t>
        </w:r>
      </w:hyperlink>
      <w:r w:rsidR="00817F40">
        <w:rPr>
          <w:noProof/>
        </w:rPr>
        <w:t xml:space="preserve">, </w:t>
      </w:r>
      <w:hyperlink w:anchor="_ENREF_7" w:tooltip="Lyons, 2005 #406" w:history="1">
        <w:r w:rsidR="00817F40">
          <w:rPr>
            <w:noProof/>
          </w:rPr>
          <w:t>7</w:t>
        </w:r>
      </w:hyperlink>
      <w:r w:rsidR="00817F40">
        <w:rPr>
          <w:noProof/>
        </w:rPr>
        <w:t>]</w:t>
      </w:r>
      <w:r w:rsidR="00DE71EA">
        <w:rPr>
          <w:noProof/>
        </w:rPr>
        <w:fldChar w:fldCharType="end"/>
      </w:r>
    </w:p>
    <w:tbl>
      <w:tblPr>
        <w:tblStyle w:val="LightList-Accent1"/>
        <w:tblW w:w="5000" w:type="pct"/>
        <w:tblLook w:val="04A0" w:firstRow="1" w:lastRow="0" w:firstColumn="1" w:lastColumn="0" w:noHBand="0" w:noVBand="1"/>
      </w:tblPr>
      <w:tblGrid>
        <w:gridCol w:w="779"/>
        <w:gridCol w:w="2170"/>
        <w:gridCol w:w="6627"/>
      </w:tblGrid>
      <w:tr w:rsidR="00B92397" w:rsidTr="00503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pct"/>
          </w:tcPr>
          <w:p w:rsidR="00B92397" w:rsidRDefault="00B92397" w:rsidP="006106F0">
            <w:r>
              <w:t>Class</w:t>
            </w:r>
          </w:p>
        </w:tc>
        <w:tc>
          <w:tcPr>
            <w:tcW w:w="1133" w:type="pct"/>
          </w:tcPr>
          <w:p w:rsidR="00B92397" w:rsidRDefault="00B92397" w:rsidP="006106F0">
            <w:pPr>
              <w:cnfStyle w:val="100000000000" w:firstRow="1" w:lastRow="0" w:firstColumn="0" w:lastColumn="0" w:oddVBand="0" w:evenVBand="0" w:oddHBand="0" w:evenHBand="0" w:firstRowFirstColumn="0" w:firstRowLastColumn="0" w:lastRowFirstColumn="0" w:lastRowLastColumn="0"/>
            </w:pPr>
            <w:r>
              <w:t>Depth Range</w:t>
            </w:r>
          </w:p>
        </w:tc>
        <w:tc>
          <w:tcPr>
            <w:tcW w:w="3460" w:type="pct"/>
          </w:tcPr>
          <w:p w:rsidR="00B92397" w:rsidRDefault="00B92397" w:rsidP="006106F0">
            <w:pPr>
              <w:cnfStyle w:val="100000000000" w:firstRow="1" w:lastRow="0" w:firstColumn="0" w:lastColumn="0" w:oddVBand="0" w:evenVBand="0" w:oddHBand="0" w:evenHBand="0" w:firstRowFirstColumn="0" w:firstRowLastColumn="0" w:lastRowFirstColumn="0" w:lastRowLastColumn="0"/>
            </w:pPr>
            <w:r>
              <w:t>Properties</w:t>
            </w:r>
          </w:p>
        </w:tc>
      </w:tr>
      <w:tr w:rsidR="00B92397" w:rsidTr="00503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pct"/>
          </w:tcPr>
          <w:p w:rsidR="00B92397" w:rsidRDefault="00B92397" w:rsidP="006106F0">
            <w:r>
              <w:t>A</w:t>
            </w:r>
          </w:p>
        </w:tc>
        <w:tc>
          <w:tcPr>
            <w:tcW w:w="1133" w:type="pct"/>
          </w:tcPr>
          <w:p w:rsidR="00B92397" w:rsidRDefault="00B92397" w:rsidP="006106F0">
            <w:pPr>
              <w:cnfStyle w:val="000000100000" w:firstRow="0" w:lastRow="0" w:firstColumn="0" w:lastColumn="0" w:oddVBand="0" w:evenVBand="0" w:oddHBand="1" w:evenHBand="0" w:firstRowFirstColumn="0" w:firstRowLastColumn="0" w:lastRowFirstColumn="0" w:lastRowLastColumn="0"/>
            </w:pPr>
            <w:r>
              <w:t xml:space="preserve">Surface to 6,000 </w:t>
            </w:r>
            <w:proofErr w:type="spellStart"/>
            <w:r>
              <w:t>ft</w:t>
            </w:r>
            <w:proofErr w:type="spellEnd"/>
          </w:p>
        </w:tc>
        <w:tc>
          <w:tcPr>
            <w:tcW w:w="3460" w:type="pct"/>
          </w:tcPr>
          <w:p w:rsidR="00B92397" w:rsidRDefault="00B92397" w:rsidP="006106F0">
            <w:pPr>
              <w:cnfStyle w:val="000000100000" w:firstRow="0" w:lastRow="0" w:firstColumn="0" w:lastColumn="0" w:oddVBand="0" w:evenVBand="0" w:oddHBand="1" w:evenHBand="0" w:firstRowFirstColumn="0" w:firstRowLastColumn="0" w:lastRowFirstColumn="0" w:lastRowLastColumn="0"/>
            </w:pPr>
            <w:r>
              <w:t>no special properties required</w:t>
            </w:r>
          </w:p>
        </w:tc>
      </w:tr>
      <w:tr w:rsidR="00B92397" w:rsidTr="00503F5C">
        <w:tc>
          <w:tcPr>
            <w:cnfStyle w:val="001000000000" w:firstRow="0" w:lastRow="0" w:firstColumn="1" w:lastColumn="0" w:oddVBand="0" w:evenVBand="0" w:oddHBand="0" w:evenHBand="0" w:firstRowFirstColumn="0" w:firstRowLastColumn="0" w:lastRowFirstColumn="0" w:lastRowLastColumn="0"/>
            <w:tcW w:w="407" w:type="pct"/>
          </w:tcPr>
          <w:p w:rsidR="00B92397" w:rsidRDefault="00B92397" w:rsidP="006106F0">
            <w:r>
              <w:t>B</w:t>
            </w:r>
          </w:p>
        </w:tc>
        <w:tc>
          <w:tcPr>
            <w:tcW w:w="1133" w:type="pct"/>
          </w:tcPr>
          <w:p w:rsidR="00B92397" w:rsidRDefault="00B92397" w:rsidP="006106F0">
            <w:pPr>
              <w:cnfStyle w:val="000000000000" w:firstRow="0" w:lastRow="0" w:firstColumn="0" w:lastColumn="0" w:oddVBand="0" w:evenVBand="0" w:oddHBand="0" w:evenHBand="0" w:firstRowFirstColumn="0" w:firstRowLastColumn="0" w:lastRowFirstColumn="0" w:lastRowLastColumn="0"/>
            </w:pPr>
            <w:r>
              <w:t xml:space="preserve">Surface to 6,000 </w:t>
            </w:r>
            <w:proofErr w:type="spellStart"/>
            <w:r>
              <w:t>ft</w:t>
            </w:r>
            <w:proofErr w:type="spellEnd"/>
          </w:p>
        </w:tc>
        <w:tc>
          <w:tcPr>
            <w:tcW w:w="3460" w:type="pct"/>
          </w:tcPr>
          <w:p w:rsidR="00B92397" w:rsidRDefault="00B92397" w:rsidP="006106F0">
            <w:pPr>
              <w:cnfStyle w:val="000000000000" w:firstRow="0" w:lastRow="0" w:firstColumn="0" w:lastColumn="0" w:oddVBand="0" w:evenVBand="0" w:oddHBand="0" w:evenHBand="0" w:firstRowFirstColumn="0" w:firstRowLastColumn="0" w:lastRowFirstColumn="0" w:lastRowLastColumn="0"/>
            </w:pPr>
            <w:r>
              <w:t>moderate to high sulfate resistance</w:t>
            </w:r>
          </w:p>
        </w:tc>
      </w:tr>
      <w:tr w:rsidR="00B92397" w:rsidTr="00503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pct"/>
          </w:tcPr>
          <w:p w:rsidR="00B92397" w:rsidRDefault="00B92397" w:rsidP="006106F0">
            <w:r>
              <w:t>C</w:t>
            </w:r>
          </w:p>
        </w:tc>
        <w:tc>
          <w:tcPr>
            <w:tcW w:w="1133" w:type="pct"/>
          </w:tcPr>
          <w:p w:rsidR="00B92397" w:rsidRDefault="00B92397" w:rsidP="006106F0">
            <w:pPr>
              <w:cnfStyle w:val="000000100000" w:firstRow="0" w:lastRow="0" w:firstColumn="0" w:lastColumn="0" w:oddVBand="0" w:evenVBand="0" w:oddHBand="1" w:evenHBand="0" w:firstRowFirstColumn="0" w:firstRowLastColumn="0" w:lastRowFirstColumn="0" w:lastRowLastColumn="0"/>
            </w:pPr>
            <w:r>
              <w:t xml:space="preserve">Surface to 6,000 </w:t>
            </w:r>
            <w:proofErr w:type="spellStart"/>
            <w:r>
              <w:t>ft</w:t>
            </w:r>
            <w:proofErr w:type="spellEnd"/>
          </w:p>
        </w:tc>
        <w:tc>
          <w:tcPr>
            <w:tcW w:w="3460" w:type="pct"/>
          </w:tcPr>
          <w:p w:rsidR="00B92397" w:rsidRDefault="00B92397" w:rsidP="006106F0">
            <w:pPr>
              <w:cnfStyle w:val="000000100000" w:firstRow="0" w:lastRow="0" w:firstColumn="0" w:lastColumn="0" w:oddVBand="0" w:evenVBand="0" w:oddHBand="1" w:evenHBand="0" w:firstRowFirstColumn="0" w:firstRowLastColumn="0" w:lastRowFirstColumn="0" w:lastRowLastColumn="0"/>
            </w:pPr>
            <w:r>
              <w:t>high early strength required and high sulfate resistance</w:t>
            </w:r>
          </w:p>
        </w:tc>
      </w:tr>
      <w:tr w:rsidR="00B92397" w:rsidTr="00503F5C">
        <w:tc>
          <w:tcPr>
            <w:cnfStyle w:val="001000000000" w:firstRow="0" w:lastRow="0" w:firstColumn="1" w:lastColumn="0" w:oddVBand="0" w:evenVBand="0" w:oddHBand="0" w:evenHBand="0" w:firstRowFirstColumn="0" w:firstRowLastColumn="0" w:lastRowFirstColumn="0" w:lastRowLastColumn="0"/>
            <w:tcW w:w="407" w:type="pct"/>
          </w:tcPr>
          <w:p w:rsidR="00B92397" w:rsidRDefault="00B92397" w:rsidP="006106F0">
            <w:r>
              <w:t>D</w:t>
            </w:r>
          </w:p>
        </w:tc>
        <w:tc>
          <w:tcPr>
            <w:tcW w:w="1133" w:type="pct"/>
          </w:tcPr>
          <w:p w:rsidR="00B92397" w:rsidRDefault="00B92397" w:rsidP="006106F0">
            <w:pPr>
              <w:cnfStyle w:val="000000000000" w:firstRow="0" w:lastRow="0" w:firstColumn="0" w:lastColumn="0" w:oddVBand="0" w:evenVBand="0" w:oddHBand="0" w:evenHBand="0" w:firstRowFirstColumn="0" w:firstRowLastColumn="0" w:lastRowFirstColumn="0" w:lastRowLastColumn="0"/>
            </w:pPr>
            <w:r>
              <w:t xml:space="preserve">6,000 </w:t>
            </w:r>
            <w:proofErr w:type="spellStart"/>
            <w:r>
              <w:t>ft</w:t>
            </w:r>
            <w:proofErr w:type="spellEnd"/>
            <w:r>
              <w:t xml:space="preserve"> – 10,000 </w:t>
            </w:r>
            <w:proofErr w:type="spellStart"/>
            <w:r>
              <w:t>ft</w:t>
            </w:r>
            <w:proofErr w:type="spellEnd"/>
          </w:p>
        </w:tc>
        <w:tc>
          <w:tcPr>
            <w:tcW w:w="3460" w:type="pct"/>
          </w:tcPr>
          <w:p w:rsidR="00B92397" w:rsidRDefault="00B92397" w:rsidP="006106F0">
            <w:pPr>
              <w:cnfStyle w:val="000000000000" w:firstRow="0" w:lastRow="0" w:firstColumn="0" w:lastColumn="0" w:oddVBand="0" w:evenVBand="0" w:oddHBand="0" w:evenHBand="0" w:firstRowFirstColumn="0" w:firstRowLastColumn="0" w:lastRowFirstColumn="0" w:lastRowLastColumn="0"/>
            </w:pPr>
            <w:proofErr w:type="gramStart"/>
            <w:r>
              <w:t>moderately</w:t>
            </w:r>
            <w:proofErr w:type="gramEnd"/>
            <w:r>
              <w:t xml:space="preserve"> high temperatures and pressures. Available in both moderate and high sulfate resistance</w:t>
            </w:r>
          </w:p>
        </w:tc>
      </w:tr>
      <w:tr w:rsidR="00B92397" w:rsidTr="00503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pct"/>
          </w:tcPr>
          <w:p w:rsidR="00B92397" w:rsidRDefault="00B92397" w:rsidP="006106F0">
            <w:r>
              <w:t>E</w:t>
            </w:r>
          </w:p>
        </w:tc>
        <w:tc>
          <w:tcPr>
            <w:tcW w:w="1133" w:type="pct"/>
          </w:tcPr>
          <w:p w:rsidR="00B92397" w:rsidRDefault="00B92397" w:rsidP="006106F0">
            <w:pPr>
              <w:cnfStyle w:val="000000100000" w:firstRow="0" w:lastRow="0" w:firstColumn="0" w:lastColumn="0" w:oddVBand="0" w:evenVBand="0" w:oddHBand="1" w:evenHBand="0" w:firstRowFirstColumn="0" w:firstRowLastColumn="0" w:lastRowFirstColumn="0" w:lastRowLastColumn="0"/>
            </w:pPr>
            <w:r>
              <w:t xml:space="preserve">10,000 </w:t>
            </w:r>
            <w:proofErr w:type="spellStart"/>
            <w:r>
              <w:t>ft</w:t>
            </w:r>
            <w:proofErr w:type="spellEnd"/>
            <w:r>
              <w:t xml:space="preserve"> – 14,000 </w:t>
            </w:r>
            <w:proofErr w:type="spellStart"/>
            <w:r>
              <w:t>ft</w:t>
            </w:r>
            <w:proofErr w:type="spellEnd"/>
          </w:p>
        </w:tc>
        <w:tc>
          <w:tcPr>
            <w:tcW w:w="3460" w:type="pct"/>
          </w:tcPr>
          <w:p w:rsidR="00B92397" w:rsidRDefault="00B92397" w:rsidP="006106F0">
            <w:pPr>
              <w:cnfStyle w:val="000000100000" w:firstRow="0" w:lastRow="0" w:firstColumn="0" w:lastColumn="0" w:oddVBand="0" w:evenVBand="0" w:oddHBand="1" w:evenHBand="0" w:firstRowFirstColumn="0" w:firstRowLastColumn="0" w:lastRowFirstColumn="0" w:lastRowLastColumn="0"/>
            </w:pPr>
            <w:proofErr w:type="gramStart"/>
            <w:r>
              <w:t>high</w:t>
            </w:r>
            <w:proofErr w:type="gramEnd"/>
            <w:r>
              <w:t xml:space="preserve"> temperatures and pressures.</w:t>
            </w:r>
          </w:p>
        </w:tc>
      </w:tr>
      <w:tr w:rsidR="00B92397" w:rsidTr="00503F5C">
        <w:tc>
          <w:tcPr>
            <w:cnfStyle w:val="001000000000" w:firstRow="0" w:lastRow="0" w:firstColumn="1" w:lastColumn="0" w:oddVBand="0" w:evenVBand="0" w:oddHBand="0" w:evenHBand="0" w:firstRowFirstColumn="0" w:firstRowLastColumn="0" w:lastRowFirstColumn="0" w:lastRowLastColumn="0"/>
            <w:tcW w:w="407" w:type="pct"/>
          </w:tcPr>
          <w:p w:rsidR="00B92397" w:rsidRDefault="00B92397" w:rsidP="006106F0">
            <w:r>
              <w:t>F</w:t>
            </w:r>
          </w:p>
        </w:tc>
        <w:tc>
          <w:tcPr>
            <w:tcW w:w="1133" w:type="pct"/>
          </w:tcPr>
          <w:p w:rsidR="00B92397" w:rsidRDefault="00B92397" w:rsidP="006106F0">
            <w:pPr>
              <w:cnfStyle w:val="000000000000" w:firstRow="0" w:lastRow="0" w:firstColumn="0" w:lastColumn="0" w:oddVBand="0" w:evenVBand="0" w:oddHBand="0" w:evenHBand="0" w:firstRowFirstColumn="0" w:firstRowLastColumn="0" w:lastRowFirstColumn="0" w:lastRowLastColumn="0"/>
            </w:pPr>
            <w:r>
              <w:t xml:space="preserve">10,000 </w:t>
            </w:r>
            <w:proofErr w:type="spellStart"/>
            <w:r>
              <w:t>ft</w:t>
            </w:r>
            <w:proofErr w:type="spellEnd"/>
            <w:r>
              <w:t xml:space="preserve"> – 16,000 </w:t>
            </w:r>
            <w:proofErr w:type="spellStart"/>
            <w:r>
              <w:t>ft</w:t>
            </w:r>
            <w:proofErr w:type="spellEnd"/>
          </w:p>
        </w:tc>
        <w:tc>
          <w:tcPr>
            <w:tcW w:w="3460" w:type="pct"/>
          </w:tcPr>
          <w:p w:rsidR="00B92397" w:rsidRDefault="00B92397" w:rsidP="006106F0">
            <w:pPr>
              <w:cnfStyle w:val="000000000000" w:firstRow="0" w:lastRow="0" w:firstColumn="0" w:lastColumn="0" w:oddVBand="0" w:evenVBand="0" w:oddHBand="0" w:evenHBand="0" w:firstRowFirstColumn="0" w:firstRowLastColumn="0" w:lastRowFirstColumn="0" w:lastRowLastColumn="0"/>
            </w:pPr>
            <w:proofErr w:type="gramStart"/>
            <w:r>
              <w:t>extremely</w:t>
            </w:r>
            <w:proofErr w:type="gramEnd"/>
            <w:r>
              <w:t xml:space="preserve"> high temperatures and pressures.  Available in both moderate and high-sulfate resistance</w:t>
            </w:r>
          </w:p>
        </w:tc>
      </w:tr>
      <w:tr w:rsidR="00B92397" w:rsidTr="00503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pct"/>
          </w:tcPr>
          <w:p w:rsidR="00B92397" w:rsidRDefault="00B92397" w:rsidP="006106F0">
            <w:r>
              <w:t>G</w:t>
            </w:r>
          </w:p>
        </w:tc>
        <w:tc>
          <w:tcPr>
            <w:tcW w:w="1133" w:type="pct"/>
          </w:tcPr>
          <w:p w:rsidR="00B92397" w:rsidRDefault="00B92397" w:rsidP="006106F0">
            <w:pPr>
              <w:cnfStyle w:val="000000100000" w:firstRow="0" w:lastRow="0" w:firstColumn="0" w:lastColumn="0" w:oddVBand="0" w:evenVBand="0" w:oddHBand="1" w:evenHBand="0" w:firstRowFirstColumn="0" w:firstRowLastColumn="0" w:lastRowFirstColumn="0" w:lastRowLastColumn="0"/>
            </w:pPr>
            <w:r>
              <w:t xml:space="preserve">Surface to 8,000 </w:t>
            </w:r>
            <w:proofErr w:type="spellStart"/>
            <w:r>
              <w:t>ft</w:t>
            </w:r>
            <w:proofErr w:type="spellEnd"/>
          </w:p>
        </w:tc>
        <w:tc>
          <w:tcPr>
            <w:tcW w:w="3460" w:type="pct"/>
          </w:tcPr>
          <w:p w:rsidR="00B92397" w:rsidRDefault="00B92397" w:rsidP="005F115F">
            <w:pPr>
              <w:cnfStyle w:val="000000100000" w:firstRow="0" w:lastRow="0" w:firstColumn="0" w:lastColumn="0" w:oddVBand="0" w:evenVBand="0" w:oddHBand="1" w:evenHBand="0" w:firstRowFirstColumn="0" w:firstRowLastColumn="0" w:lastRowFirstColumn="0" w:lastRowLastColumn="0"/>
            </w:pPr>
            <w:proofErr w:type="gramStart"/>
            <w:r>
              <w:t>can</w:t>
            </w:r>
            <w:proofErr w:type="gramEnd"/>
            <w:r>
              <w:t xml:space="preserve"> be used with accelerators and retarders for wide range of depths and temperatures. Available moderate and high-sulfate resistance. Basic oil well cement</w:t>
            </w:r>
          </w:p>
        </w:tc>
      </w:tr>
      <w:tr w:rsidR="00B92397" w:rsidTr="00503F5C">
        <w:tc>
          <w:tcPr>
            <w:cnfStyle w:val="001000000000" w:firstRow="0" w:lastRow="0" w:firstColumn="1" w:lastColumn="0" w:oddVBand="0" w:evenVBand="0" w:oddHBand="0" w:evenHBand="0" w:firstRowFirstColumn="0" w:firstRowLastColumn="0" w:lastRowFirstColumn="0" w:lastRowLastColumn="0"/>
            <w:tcW w:w="407" w:type="pct"/>
          </w:tcPr>
          <w:p w:rsidR="00B92397" w:rsidRDefault="00B92397" w:rsidP="006106F0">
            <w:r>
              <w:t>H</w:t>
            </w:r>
          </w:p>
        </w:tc>
        <w:tc>
          <w:tcPr>
            <w:tcW w:w="1133" w:type="pct"/>
          </w:tcPr>
          <w:p w:rsidR="00B92397" w:rsidRDefault="00B92397" w:rsidP="006106F0">
            <w:pPr>
              <w:cnfStyle w:val="000000000000" w:firstRow="0" w:lastRow="0" w:firstColumn="0" w:lastColumn="0" w:oddVBand="0" w:evenVBand="0" w:oddHBand="0" w:evenHBand="0" w:firstRowFirstColumn="0" w:firstRowLastColumn="0" w:lastRowFirstColumn="0" w:lastRowLastColumn="0"/>
            </w:pPr>
            <w:r>
              <w:t xml:space="preserve">Surface to 8,000 </w:t>
            </w:r>
            <w:proofErr w:type="spellStart"/>
            <w:r>
              <w:t>ft</w:t>
            </w:r>
            <w:proofErr w:type="spellEnd"/>
          </w:p>
        </w:tc>
        <w:tc>
          <w:tcPr>
            <w:tcW w:w="3460" w:type="pct"/>
          </w:tcPr>
          <w:p w:rsidR="00B92397" w:rsidRDefault="00B92397" w:rsidP="0043339D">
            <w:pPr>
              <w:cnfStyle w:val="000000000000" w:firstRow="0" w:lastRow="0" w:firstColumn="0" w:lastColumn="0" w:oddVBand="0" w:evenVBand="0" w:oddHBand="0" w:evenHBand="0" w:firstRowFirstColumn="0" w:firstRowLastColumn="0" w:lastRowFirstColumn="0" w:lastRowLastColumn="0"/>
            </w:pPr>
            <w:proofErr w:type="gramStart"/>
            <w:r>
              <w:t>can</w:t>
            </w:r>
            <w:proofErr w:type="gramEnd"/>
            <w:r>
              <w:t xml:space="preserve"> be used with accelerators and retarders for wide range of depths </w:t>
            </w:r>
            <w:r>
              <w:lastRenderedPageBreak/>
              <w:t>and temperatures. Available moderate and high-sulfate resistance.  Basic oil well cement</w:t>
            </w:r>
          </w:p>
        </w:tc>
      </w:tr>
      <w:tr w:rsidR="00B92397" w:rsidTr="00503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pct"/>
          </w:tcPr>
          <w:p w:rsidR="00B92397" w:rsidRDefault="00B92397" w:rsidP="006106F0">
            <w:r>
              <w:lastRenderedPageBreak/>
              <w:t>J</w:t>
            </w:r>
          </w:p>
        </w:tc>
        <w:tc>
          <w:tcPr>
            <w:tcW w:w="1133" w:type="pct"/>
          </w:tcPr>
          <w:p w:rsidR="00B92397" w:rsidRDefault="00B92397" w:rsidP="006106F0">
            <w:pPr>
              <w:cnfStyle w:val="000000100000" w:firstRow="0" w:lastRow="0" w:firstColumn="0" w:lastColumn="0" w:oddVBand="0" w:evenVBand="0" w:oddHBand="1" w:evenHBand="0" w:firstRowFirstColumn="0" w:firstRowLastColumn="0" w:lastRowFirstColumn="0" w:lastRowLastColumn="0"/>
            </w:pPr>
            <w:r>
              <w:t xml:space="preserve">12,000 </w:t>
            </w:r>
            <w:proofErr w:type="spellStart"/>
            <w:r>
              <w:t>ft</w:t>
            </w:r>
            <w:proofErr w:type="spellEnd"/>
            <w:r>
              <w:t xml:space="preserve"> – 16,000 </w:t>
            </w:r>
            <w:proofErr w:type="spellStart"/>
            <w:r>
              <w:t>ft</w:t>
            </w:r>
            <w:proofErr w:type="spellEnd"/>
          </w:p>
        </w:tc>
        <w:tc>
          <w:tcPr>
            <w:tcW w:w="3460" w:type="pct"/>
          </w:tcPr>
          <w:p w:rsidR="00B92397" w:rsidRDefault="00B92397" w:rsidP="0043339D">
            <w:pPr>
              <w:cnfStyle w:val="000000100000" w:firstRow="0" w:lastRow="0" w:firstColumn="0" w:lastColumn="0" w:oddVBand="0" w:evenVBand="0" w:oddHBand="1" w:evenHBand="0" w:firstRowFirstColumn="0" w:firstRowLastColumn="0" w:lastRowFirstColumn="0" w:lastRowLastColumn="0"/>
            </w:pPr>
            <w:r>
              <w:t>Extremely high temperatures and pressures.  Can be used with accelerators and retarders.</w:t>
            </w:r>
          </w:p>
        </w:tc>
      </w:tr>
    </w:tbl>
    <w:p w:rsidR="004A1658" w:rsidRDefault="004A1658" w:rsidP="006106F0"/>
    <w:p w:rsidR="001E6A33" w:rsidRPr="00817F40" w:rsidRDefault="00991395" w:rsidP="006106F0">
      <w:r>
        <w:t>In oil and gas, o</w:t>
      </w:r>
      <w:r w:rsidR="001E6A33">
        <w:t>ne of the</w:t>
      </w:r>
      <w:r w:rsidR="001E37EC">
        <w:t xml:space="preserve"> crucial</w:t>
      </w:r>
      <w:r w:rsidR="001E6A33">
        <w:t xml:space="preserve"> characteristics of any well cement is sulfate resistance.  Sulfate is abundant in underground formation liquids that can contact the set cement.  The chemical reaction between the sulfate and cement can corrode the set cement caus</w:t>
      </w:r>
      <w:r w:rsidR="00F94634">
        <w:t>ing</w:t>
      </w:r>
      <w:r w:rsidR="001E6A33">
        <w:t xml:space="preserve"> expansion </w:t>
      </w:r>
      <w:r w:rsidR="00F94634">
        <w:t>resulting in cement disintegration.</w:t>
      </w:r>
      <w:r w:rsidR="001E6A33">
        <w:t xml:space="preserve"> The relative increase in sulfate resistance indicated in </w:t>
      </w:r>
      <w:r w:rsidR="001E6A33">
        <w:fldChar w:fldCharType="begin"/>
      </w:r>
      <w:r w:rsidR="001E6A33">
        <w:instrText xml:space="preserve"> REF _Ref378857596 \h </w:instrText>
      </w:r>
      <w:r w:rsidR="001E6A33">
        <w:fldChar w:fldCharType="separate"/>
      </w:r>
      <w:r w:rsidR="003129FA">
        <w:t xml:space="preserve">Table </w:t>
      </w:r>
      <w:r w:rsidR="003129FA">
        <w:rPr>
          <w:noProof/>
        </w:rPr>
        <w:t>4</w:t>
      </w:r>
      <w:r w:rsidR="001E6A33">
        <w:fldChar w:fldCharType="end"/>
      </w:r>
      <w:r w:rsidR="001E6A33">
        <w:t xml:space="preserve"> indicates decreasing amounts of </w:t>
      </w:r>
      <w:proofErr w:type="spellStart"/>
      <w:r w:rsidR="001E6A33">
        <w:t>tricalcium</w:t>
      </w:r>
      <w:proofErr w:type="spellEnd"/>
      <w:r w:rsidR="001E6A33">
        <w:t xml:space="preserve"> aluminate.</w:t>
      </w:r>
      <w:r w:rsidR="00817F40">
        <w:t xml:space="preserve">  In geothermal, acid and CO</w:t>
      </w:r>
      <w:r w:rsidR="00817F40">
        <w:rPr>
          <w:vertAlign w:val="subscript"/>
        </w:rPr>
        <w:t>2</w:t>
      </w:r>
      <w:r w:rsidR="00817F40">
        <w:t xml:space="preserve"> resistance are of primary importance.  Calcium aluminate phosphate (</w:t>
      </w:r>
      <w:proofErr w:type="spellStart"/>
      <w:r w:rsidR="00817F40">
        <w:t>CaP</w:t>
      </w:r>
      <w:proofErr w:type="spellEnd"/>
      <w:r w:rsidR="00817F40">
        <w:t>) and sodium silicate-activated slag (SSAS) cement have been shown to have good performance against CO</w:t>
      </w:r>
      <w:r w:rsidR="00817F40">
        <w:rPr>
          <w:vertAlign w:val="subscript"/>
        </w:rPr>
        <w:t>2</w:t>
      </w:r>
      <w:r w:rsidR="00817F40">
        <w:t xml:space="preserve"> attack </w:t>
      </w:r>
      <w:r w:rsidR="00817F40">
        <w:fldChar w:fldCharType="begin"/>
      </w:r>
      <w:r w:rsidR="00817F40">
        <w:instrText xml:space="preserve"> ADDIN EN.CITE &lt;EndNote&gt;&lt;Cite&gt;&lt;Author&gt;Finger&lt;/Author&gt;&lt;Year&gt;2010&lt;/Year&gt;&lt;RecNum&gt;392&lt;/RecNum&gt;&lt;DisplayText&gt;[6]&lt;/DisplayText&gt;&lt;record&gt;&lt;rec-number&gt;392&lt;/rec-number&gt;&lt;foreign-keys&gt;&lt;key app="EN" db-id="rwzxp2sses9f5deexw8xe0tjf5f2wep0epv9"&gt;392&lt;/key&gt;&lt;/foreign-keys&gt;&lt;ref-type name="Journal Article"&gt;17&lt;/ref-type&gt;&lt;contributors&gt;&lt;authors&gt;&lt;author&gt;Finger, John, Doug Blankenship&lt;/author&gt;&lt;/authors&gt;&lt;/contributors&gt;&lt;titles&gt;&lt;title&gt;Handbook of Best Practices for Geothermal Drilling&lt;/title&gt;&lt;secondary-title&gt;SANDIA REPORT&lt;/secondary-title&gt;&lt;/titles&gt;&lt;periodical&gt;&lt;full-title&gt;SANDIA REPORT&lt;/full-title&gt;&lt;/periodical&gt;&lt;number&gt;SAND2010-6048&lt;/number&gt;&lt;dates&gt;&lt;year&gt;2010&lt;/year&gt;&lt;pub-dates&gt;&lt;date&gt;December 2010&lt;/date&gt;&lt;/pub-dates&gt;&lt;/dates&gt;&lt;publisher&gt;Sandia National Laboratories&lt;/publisher&gt;&lt;urls&gt;&lt;/urls&gt;&lt;/record&gt;&lt;/Cite&gt;&lt;/EndNote&gt;</w:instrText>
      </w:r>
      <w:r w:rsidR="00817F40">
        <w:fldChar w:fldCharType="separate"/>
      </w:r>
      <w:r w:rsidR="00817F40">
        <w:rPr>
          <w:noProof/>
        </w:rPr>
        <w:t>[</w:t>
      </w:r>
      <w:hyperlink w:anchor="_ENREF_6" w:tooltip="Finger, 2010 #392" w:history="1">
        <w:r w:rsidR="00817F40">
          <w:rPr>
            <w:noProof/>
          </w:rPr>
          <w:t>6</w:t>
        </w:r>
      </w:hyperlink>
      <w:r w:rsidR="00817F40">
        <w:rPr>
          <w:noProof/>
        </w:rPr>
        <w:t>]</w:t>
      </w:r>
      <w:r w:rsidR="00817F40">
        <w:fldChar w:fldCharType="end"/>
      </w:r>
      <w:r w:rsidR="00817F40">
        <w:t>.</w:t>
      </w:r>
    </w:p>
    <w:p w:rsidR="00BB63EA" w:rsidRDefault="00BB63EA" w:rsidP="006106F0">
      <w:r>
        <w:t xml:space="preserve">In high-temperature environments such as geothermal wells, the principal binder in Portland cement begins to lose strength </w:t>
      </w:r>
      <w:r>
        <w:fldChar w:fldCharType="begin"/>
      </w:r>
      <w:r w:rsidR="00817F40">
        <w:instrText xml:space="preserve"> ADDIN EN.CITE &lt;EndNote&gt;&lt;Cite&gt;&lt;Author&gt;Koons&lt;/Author&gt;&lt;Year&gt;1993&lt;/Year&gt;&lt;RecNum&gt;446&lt;/RecNum&gt;&lt;DisplayText&gt;[9]&lt;/DisplayText&gt;&lt;record&gt;&lt;rec-number&gt;446&lt;/rec-number&gt;&lt;foreign-keys&gt;&lt;key app="EN" db-id="rwzxp2sses9f5deexw8xe0tjf5f2wep0epv9"&gt;446&lt;/key&gt;&lt;/foreign-keys&gt;&lt;ref-type name="Journal Article"&gt;17&lt;/ref-type&gt;&lt;contributors&gt;&lt;authors&gt;&lt;author&gt;Brian E. Koons&lt;/author&gt;&lt;author&gt;Dustin L. Free&lt;/author&gt;&lt;author&gt;Arthur F. Frederick&lt;/author&gt;&lt;/authors&gt;&lt;/contributors&gt;&lt;titles&gt;&lt;title&gt;New Design Guidelines for Geothermal Cement Slurries&lt;/title&gt;&lt;secondary-title&gt;GRC Transactions&lt;/secondary-title&gt;&lt;/titles&gt;&lt;periodical&gt;&lt;full-title&gt;GRC Transactions&lt;/full-title&gt;&lt;/periodical&gt;&lt;pages&gt;43-51&lt;/pages&gt;&lt;volume&gt;17&lt;/volume&gt;&lt;dates&gt;&lt;year&gt;1993&lt;/year&gt;&lt;/dates&gt;&lt;urls&gt;&lt;/urls&gt;&lt;/record&gt;&lt;/Cite&gt;&lt;/EndNote&gt;</w:instrText>
      </w:r>
      <w:r>
        <w:fldChar w:fldCharType="separate"/>
      </w:r>
      <w:r w:rsidR="00817F40">
        <w:rPr>
          <w:noProof/>
        </w:rPr>
        <w:t>[</w:t>
      </w:r>
      <w:hyperlink w:anchor="_ENREF_9" w:tooltip="Koons, 1993 #446" w:history="1">
        <w:r w:rsidR="00817F40">
          <w:rPr>
            <w:noProof/>
          </w:rPr>
          <w:t>9</w:t>
        </w:r>
      </w:hyperlink>
      <w:r w:rsidR="00817F40">
        <w:rPr>
          <w:noProof/>
        </w:rPr>
        <w:t>]</w:t>
      </w:r>
      <w:r>
        <w:fldChar w:fldCharType="end"/>
      </w:r>
      <w:r>
        <w:t>.  This occurs at temperatures exceeding 230°F.</w:t>
      </w:r>
      <w:r w:rsidR="001D1BD2">
        <w:t xml:space="preserve">  </w:t>
      </w:r>
      <w:r>
        <w:t xml:space="preserve">These limitations are addressed by using silica-lime cement which is more stable at high temperatures </w:t>
      </w:r>
      <w:r>
        <w:fldChar w:fldCharType="begin"/>
      </w:r>
      <w:r w:rsidR="00817F40">
        <w:instrText xml:space="preserve"> ADDIN EN.CITE &lt;EndNote&gt;&lt;Cite&gt;&lt;Author&gt;Hernandez&lt;/Author&gt;&lt;Year&gt;2010&lt;/Year&gt;&lt;RecNum&gt;447&lt;/RecNum&gt;&lt;DisplayText&gt;[10]&lt;/DisplayText&gt;&lt;record&gt;&lt;rec-number&gt;447&lt;/rec-number&gt;&lt;foreign-keys&gt;&lt;key app="EN" db-id="rwzxp2sses9f5deexw8xe0tjf5f2wep0epv9"&gt;447&lt;/key&gt;&lt;/foreign-keys&gt;&lt;ref-type name="Journal Article"&gt;17&lt;/ref-type&gt;&lt;contributors&gt;&lt;authors&gt;&lt;author&gt;Rafael Hernandez&lt;/author&gt;&lt;author&gt;Lance Brothers&lt;/author&gt;&lt;author&gt;Robert Martin&lt;/author&gt;&lt;/authors&gt;&lt;/contributors&gt;&lt;titles&gt;&lt;title&gt;Silica-Lime Based Hydrothermal Cements for High-Temperature Geothermal Applications&lt;/title&gt;&lt;secondary-title&gt;GRC Transactions&lt;/secondary-title&gt;&lt;/titles&gt;&lt;periodical&gt;&lt;full-title&gt;GRC Transactions&lt;/full-title&gt;&lt;/periodical&gt;&lt;pages&gt;221-224&lt;/pages&gt;&lt;volume&gt;34&lt;/volume&gt;&lt;dates&gt;&lt;year&gt;2010&lt;/year&gt;&lt;/dates&gt;&lt;urls&gt;&lt;/urls&gt;&lt;/record&gt;&lt;/Cite&gt;&lt;/EndNote&gt;</w:instrText>
      </w:r>
      <w:r>
        <w:fldChar w:fldCharType="separate"/>
      </w:r>
      <w:r w:rsidR="00817F40">
        <w:rPr>
          <w:noProof/>
        </w:rPr>
        <w:t>[</w:t>
      </w:r>
      <w:hyperlink w:anchor="_ENREF_10" w:tooltip="Hernandez, 2010 #447" w:history="1">
        <w:r w:rsidR="00817F40">
          <w:rPr>
            <w:noProof/>
          </w:rPr>
          <w:t>10</w:t>
        </w:r>
      </w:hyperlink>
      <w:r w:rsidR="00817F40">
        <w:rPr>
          <w:noProof/>
        </w:rPr>
        <w:t>]</w:t>
      </w:r>
      <w:r>
        <w:fldChar w:fldCharType="end"/>
      </w:r>
      <w:r>
        <w:t xml:space="preserve">.  </w:t>
      </w:r>
      <w:r w:rsidR="001D1BD2">
        <w:t>The s</w:t>
      </w:r>
      <w:r>
        <w:t xml:space="preserve">ilica added to the cement helps to stabilize it at high temperatures.  </w:t>
      </w:r>
      <w:r w:rsidR="008D0424">
        <w:t xml:space="preserve">In </w:t>
      </w:r>
      <w:proofErr w:type="gramStart"/>
      <w:r w:rsidR="008D0424">
        <w:t>a silica</w:t>
      </w:r>
      <w:proofErr w:type="gramEnd"/>
      <w:r w:rsidR="008D0424">
        <w:t xml:space="preserve">-lime hydrothermal cement, calcium hydroxide and silica are the only reactants.  </w:t>
      </w:r>
      <w:r>
        <w:t>This type of hydrothermal cement requires less retardant and takes advantage of well temperatures (&gt;190°F) to set.</w:t>
      </w:r>
    </w:p>
    <w:p w:rsidR="00707DF8" w:rsidRDefault="001E6A33" w:rsidP="006106F0">
      <w:r>
        <w:t xml:space="preserve">The slurry and set cement should meet basic requirements for ensuring safety and quality of the cement job.  </w:t>
      </w:r>
      <w:r w:rsidR="00F94634">
        <w:t>Additional p</w:t>
      </w:r>
      <w:r>
        <w:t xml:space="preserve">roperties to consider include density, thickening time, </w:t>
      </w:r>
      <w:r w:rsidR="00707DF8">
        <w:t>set strength</w:t>
      </w:r>
      <w:r w:rsidR="009C2D7B">
        <w:t>.</w:t>
      </w:r>
    </w:p>
    <w:p w:rsidR="001E6A33" w:rsidRDefault="00707DF8" w:rsidP="006106F0">
      <w:r>
        <w:t xml:space="preserve">The density or specific weight is one of the most important properties of cement slurry </w:t>
      </w:r>
      <w:r w:rsidR="00DE71EA">
        <w:fldChar w:fldCharType="begin"/>
      </w:r>
      <w:r w:rsidR="00817F40">
        <w:instrText xml:space="preserve"> ADDIN EN.CITE &lt;EndNote&gt;&lt;Cite ExcludeYear="1"&gt;&lt;Author&gt;Lyons&lt;/Author&gt;&lt;Year&gt;2005&lt;/Year&gt;&lt;RecNum&gt;406&lt;/RecNum&gt;&lt;DisplayText&gt;[7]&lt;/DisplayText&gt;&lt;record&gt;&lt;rec-number&gt;406&lt;/rec-number&gt;&lt;foreign-keys&gt;&lt;key app="EN" db-id="rwzxp2sses9f5deexw8xe0tjf5f2wep0epv9"&gt;406&lt;/key&gt;&lt;/foreign-keys&gt;&lt;ref-type name="Book"&gt;6&lt;/ref-type&gt;&lt;contributors&gt;&lt;authors&gt;&lt;author&gt;Lyons, William C.&lt;/author&gt;&lt;author&gt;Plisga, Gary J.&lt;/author&gt;&lt;/authors&gt;&lt;/contributors&gt;&lt;titles&gt;&lt;title&gt;Standard handbook of petroleum &amp;amp; natural gas engineering&lt;/title&gt;&lt;/titles&gt;&lt;num-vols&gt;1&lt;/num-vols&gt;&lt;edition&gt;2nd&lt;/edition&gt;&lt;keywords&gt;&lt;keyword&gt;Petroleum engineering.&lt;/keyword&gt;&lt;keyword&gt;Natural gas.&lt;/keyword&gt;&lt;/keywords&gt;&lt;dates&gt;&lt;year&gt;2005&lt;/year&gt;&lt;/dates&gt;&lt;pub-location&gt;Burlington, MA ; Oxford, UK&lt;/pub-location&gt;&lt;publisher&gt;Gulf Professional Pub.&lt;/publisher&gt;&lt;isbn&gt;0750677856 (acid-free paper)&lt;/isbn&gt;&lt;accession-num&gt;13669295&lt;/accession-num&gt;&lt;call-num&gt;Reference - Science Reading Room (Adams, 5th Floor) TN870; .S6233 2005&lt;/call-num&gt;&lt;urls&gt;&lt;related-urls&gt;&lt;url&gt;http://www.loc.gov/catdir/toc/els051/2004056285.html&lt;/url&gt;&lt;url&gt;http://www.loc.gov/catdir/description/els051/2004056285.html&lt;/url&gt;&lt;/related-urls&gt;&lt;/urls&gt;&lt;/record&gt;&lt;/Cite&gt;&lt;/EndNote&gt;</w:instrText>
      </w:r>
      <w:r w:rsidR="00DE71EA">
        <w:fldChar w:fldCharType="separate"/>
      </w:r>
      <w:r w:rsidR="00817F40">
        <w:rPr>
          <w:noProof/>
        </w:rPr>
        <w:t>[</w:t>
      </w:r>
      <w:hyperlink w:anchor="_ENREF_7" w:tooltip="Lyons, 2005 #406" w:history="1">
        <w:r w:rsidR="00817F40">
          <w:rPr>
            <w:noProof/>
          </w:rPr>
          <w:t>7</w:t>
        </w:r>
      </w:hyperlink>
      <w:r w:rsidR="00817F40">
        <w:rPr>
          <w:noProof/>
        </w:rPr>
        <w:t>]</w:t>
      </w:r>
      <w:r w:rsidR="00DE71EA">
        <w:fldChar w:fldCharType="end"/>
      </w:r>
      <w:r w:rsidR="00C528D2">
        <w:t>.</w:t>
      </w:r>
      <w:r>
        <w:t xml:space="preserve">  Cement slurry density should be higher than the density of the drilling fluid but not high enough to induce fracturing in the wellbore.  The specific weight is defined by the amount of water used with the dry cement.  The range of specific weights is limited by the minimum and maximum standards set by API.</w:t>
      </w:r>
      <w:r w:rsidR="00673911">
        <w:t xml:space="preserve">  However, typical density that provides good </w:t>
      </w:r>
      <w:proofErr w:type="spellStart"/>
      <w:r w:rsidR="00673911">
        <w:t>flowability</w:t>
      </w:r>
      <w:proofErr w:type="spellEnd"/>
      <w:r w:rsidR="00673911">
        <w:t xml:space="preserve"> and set strength is around </w:t>
      </w:r>
      <w:r w:rsidR="00991395">
        <w:t xml:space="preserve">16 </w:t>
      </w:r>
      <w:proofErr w:type="spellStart"/>
      <w:r w:rsidR="00991395">
        <w:t>lb</w:t>
      </w:r>
      <w:proofErr w:type="spellEnd"/>
      <w:r w:rsidR="00991395">
        <w:t>/gal</w:t>
      </w:r>
      <w:r w:rsidR="00673911">
        <w:t xml:space="preserve"> </w:t>
      </w:r>
      <w:r w:rsidR="00C74715">
        <w:fldChar w:fldCharType="begin"/>
      </w:r>
      <w:r w:rsidR="00C74715">
        <w:instrText xml:space="preserve"> ADDIN EN.CITE &lt;EndNote&gt;&lt;Cite ExcludeYear="1"&gt;&lt;Author&gt;Wan&lt;/Author&gt;&lt;Year&gt;2011&lt;/Year&gt;&lt;RecNum&gt;407&lt;/RecNum&gt;&lt;DisplayText&gt;[1]&lt;/DisplayText&gt;&lt;record&gt;&lt;rec-number&gt;407&lt;/rec-number&gt;&lt;foreign-keys&gt;&lt;key app="EN" db-id="rwzxp2sses9f5deexw8xe0tjf5f2wep0epv9"&gt;407&lt;/key&gt;&lt;/foreign-keys&gt;&lt;ref-type name="Book"&gt;6&lt;/ref-type&gt;&lt;contributors&gt;&lt;authors&gt;&lt;author&gt;Wan, Renpu&lt;/author&gt;&lt;/authors&gt;&lt;/contributors&gt;&lt;titles&gt;&lt;title&gt;Advanced well completion engineering&lt;/title&gt;&lt;/titles&gt;&lt;pages&gt;xx, 715 p.&lt;/pages&gt;&lt;edition&gt;3rd&lt;/edition&gt;&lt;keywords&gt;&lt;keyword&gt;Oil well completion.&lt;/keyword&gt;&lt;/keywords&gt;&lt;dates&gt;&lt;year&gt;2011&lt;/year&gt;&lt;/dates&gt;&lt;pub-location&gt;Waltham, MA&lt;/pub-location&gt;&lt;publisher&gt;Gulf Professional Pub.&lt;/publisher&gt;&lt;isbn&gt;9780123858689 (alk. paper)&lt;/isbn&gt;&lt;accession-num&gt;16677742&lt;/accession-num&gt;&lt;call-num&gt;Jefferson or Adams Building Reading Rooms TN871.2; .R384 2011&lt;/call-num&gt;&lt;urls&gt;&lt;/urls&gt;&lt;/record&gt;&lt;/Cite&gt;&lt;/EndNote&gt;</w:instrText>
      </w:r>
      <w:r w:rsidR="00C74715">
        <w:fldChar w:fldCharType="separate"/>
      </w:r>
      <w:r w:rsidR="00C74715">
        <w:rPr>
          <w:noProof/>
        </w:rPr>
        <w:t>[</w:t>
      </w:r>
      <w:hyperlink w:anchor="_ENREF_1" w:tooltip="Wan, 2011 #407" w:history="1">
        <w:r w:rsidR="00817F40">
          <w:rPr>
            <w:noProof/>
          </w:rPr>
          <w:t>1</w:t>
        </w:r>
      </w:hyperlink>
      <w:r w:rsidR="00C74715">
        <w:rPr>
          <w:noProof/>
        </w:rPr>
        <w:t>]</w:t>
      </w:r>
      <w:r w:rsidR="00C74715">
        <w:fldChar w:fldCharType="end"/>
      </w:r>
      <w:r w:rsidR="00673911">
        <w:t xml:space="preserve">.  </w:t>
      </w:r>
    </w:p>
    <w:p w:rsidR="00395B4F" w:rsidRDefault="000E266E" w:rsidP="006106F0">
      <w:r>
        <w:t>T</w:t>
      </w:r>
      <w:r w:rsidR="00395B4F">
        <w:t xml:space="preserve">he </w:t>
      </w:r>
      <w:r w:rsidR="00673911">
        <w:t xml:space="preserve">thickening time of the cement slurry must be known before prior to being used.  </w:t>
      </w:r>
      <w:r w:rsidR="001D60E3">
        <w:t xml:space="preserve">It </w:t>
      </w:r>
      <w:r w:rsidR="00395B4F">
        <w:t xml:space="preserve">is defined as the time required </w:t>
      </w:r>
      <w:proofErr w:type="gramStart"/>
      <w:r w:rsidR="00395B4F">
        <w:t>to reach</w:t>
      </w:r>
      <w:proofErr w:type="gramEnd"/>
      <w:r w:rsidR="00395B4F">
        <w:t xml:space="preserve"> 100 Bearden</w:t>
      </w:r>
      <w:r w:rsidR="00292CBE">
        <w:rPr>
          <w:rStyle w:val="FootnoteReference"/>
        </w:rPr>
        <w:footnoteReference w:id="1"/>
      </w:r>
      <w:r w:rsidR="00395B4F">
        <w:t xml:space="preserve"> units of consistency.  70 Bearden units is typically considered the maximum pumpable viscosity </w:t>
      </w:r>
      <w:r w:rsidR="00DE71EA">
        <w:fldChar w:fldCharType="begin"/>
      </w:r>
      <w:r w:rsidR="00817F40">
        <w:instrText xml:space="preserve"> ADDIN EN.CITE &lt;EndNote&gt;&lt;Cite ExcludeYear="1"&gt;&lt;Author&gt;Lyons&lt;/Author&gt;&lt;Year&gt;2005&lt;/Year&gt;&lt;RecNum&gt;406&lt;/RecNum&gt;&lt;DisplayText&gt;[7]&lt;/DisplayText&gt;&lt;record&gt;&lt;rec-number&gt;406&lt;/rec-number&gt;&lt;foreign-keys&gt;&lt;key app="EN" db-id="rwzxp2sses9f5deexw8xe0tjf5f2wep0epv9"&gt;406&lt;/key&gt;&lt;/foreign-keys&gt;&lt;ref-type name="Book"&gt;6&lt;/ref-type&gt;&lt;contributors&gt;&lt;authors&gt;&lt;author&gt;Lyons, William C.&lt;/author&gt;&lt;author&gt;Plisga, Gary J.&lt;/author&gt;&lt;/authors&gt;&lt;/contributors&gt;&lt;titles&gt;&lt;title&gt;Standard handbook of petroleum &amp;amp; natural gas engineering&lt;/title&gt;&lt;/titles&gt;&lt;num-vols&gt;1&lt;/num-vols&gt;&lt;edition&gt;2nd&lt;/edition&gt;&lt;keywords&gt;&lt;keyword&gt;Petroleum engineering.&lt;/keyword&gt;&lt;keyword&gt;Natural gas.&lt;/keyword&gt;&lt;/keywords&gt;&lt;dates&gt;&lt;year&gt;2005&lt;/year&gt;&lt;/dates&gt;&lt;pub-location&gt;Burlington, MA ; Oxford, UK&lt;/pub-location&gt;&lt;publisher&gt;Gulf Professional Pub.&lt;/publisher&gt;&lt;isbn&gt;0750677856 (acid-free paper)&lt;/isbn&gt;&lt;accession-num&gt;13669295&lt;/accession-num&gt;&lt;call-num&gt;Reference - Science Reading Room (Adams, 5th Floor) TN870; .S6233 2005&lt;/call-num&gt;&lt;urls&gt;&lt;related-urls&gt;&lt;url&gt;http://www.loc.gov/catdir/toc/els051/2004056285.html&lt;/url&gt;&lt;url&gt;http://www.loc.gov/catdir/description/els051/2004056285.html&lt;/url&gt;&lt;/related-urls&gt;&lt;/urls&gt;&lt;/record&gt;&lt;/Cite&gt;&lt;/EndNote&gt;</w:instrText>
      </w:r>
      <w:r w:rsidR="00DE71EA">
        <w:fldChar w:fldCharType="separate"/>
      </w:r>
      <w:r w:rsidR="00817F40">
        <w:rPr>
          <w:noProof/>
        </w:rPr>
        <w:t>[</w:t>
      </w:r>
      <w:hyperlink w:anchor="_ENREF_7" w:tooltip="Lyons, 2005 #406" w:history="1">
        <w:r w:rsidR="00817F40">
          <w:rPr>
            <w:noProof/>
          </w:rPr>
          <w:t>7</w:t>
        </w:r>
      </w:hyperlink>
      <w:r w:rsidR="00817F40">
        <w:rPr>
          <w:noProof/>
        </w:rPr>
        <w:t>]</w:t>
      </w:r>
      <w:r w:rsidR="00DE71EA">
        <w:fldChar w:fldCharType="end"/>
      </w:r>
      <w:r w:rsidR="00395B4F">
        <w:t xml:space="preserve">.  </w:t>
      </w:r>
      <w:r w:rsidR="00673911">
        <w:t xml:space="preserve">If the thickening time is exceeded, </w:t>
      </w:r>
      <w:r w:rsidR="00395B4F">
        <w:t xml:space="preserve">there is </w:t>
      </w:r>
      <w:r w:rsidR="00673911">
        <w:t xml:space="preserve">the risk of </w:t>
      </w:r>
      <w:r w:rsidR="00395B4F">
        <w:t>damaging equipment and</w:t>
      </w:r>
      <w:r w:rsidR="00673911">
        <w:t xml:space="preserve"> </w:t>
      </w:r>
      <w:r w:rsidR="00395B4F">
        <w:t>not filling the annulus.  Thickening time can be controlled with additives that will retard the chemical reaction and extend the thickening time.</w:t>
      </w:r>
    </w:p>
    <w:p w:rsidR="003C4831" w:rsidRDefault="001101A9" w:rsidP="006106F0">
      <w:r>
        <w:t xml:space="preserve">The compressive set strength of cement </w:t>
      </w:r>
      <w:r w:rsidR="00286907">
        <w:t>indicates</w:t>
      </w:r>
      <w:r>
        <w:t xml:space="preserve"> how much load the cement can withstand b</w:t>
      </w:r>
      <w:r w:rsidR="001C3BD9">
        <w:t xml:space="preserve">efore rupturing.  A compressive set strength of 500 psi is considered adequate for most applications </w:t>
      </w:r>
      <w:r w:rsidR="00DE71EA">
        <w:fldChar w:fldCharType="begin"/>
      </w:r>
      <w:r w:rsidR="00817F40">
        <w:instrText xml:space="preserve"> ADDIN EN.CITE &lt;EndNote&gt;&lt;Cite ExcludeYear="1"&gt;&lt;Author&gt;Lyons&lt;/Author&gt;&lt;Year&gt;2005&lt;/Year&gt;&lt;RecNum&gt;406&lt;/RecNum&gt;&lt;DisplayText&gt;[7]&lt;/DisplayText&gt;&lt;record&gt;&lt;rec-number&gt;406&lt;/rec-number&gt;&lt;foreign-keys&gt;&lt;key app="EN" db-id="rwzxp2sses9f5deexw8xe0tjf5f2wep0epv9"&gt;406&lt;/key&gt;&lt;/foreign-keys&gt;&lt;ref-type name="Book"&gt;6&lt;/ref-type&gt;&lt;contributors&gt;&lt;authors&gt;&lt;author&gt;Lyons, William C.&lt;/author&gt;&lt;author&gt;Plisga, Gary J.&lt;/author&gt;&lt;/authors&gt;&lt;/contributors&gt;&lt;titles&gt;&lt;title&gt;Standard handbook of petroleum &amp;amp; natural gas engineering&lt;/title&gt;&lt;/titles&gt;&lt;num-vols&gt;1&lt;/num-vols&gt;&lt;edition&gt;2nd&lt;/edition&gt;&lt;keywords&gt;&lt;keyword&gt;Petroleum engineering.&lt;/keyword&gt;&lt;keyword&gt;Natural gas.&lt;/keyword&gt;&lt;/keywords&gt;&lt;dates&gt;&lt;year&gt;2005&lt;/year&gt;&lt;/dates&gt;&lt;pub-location&gt;Burlington, MA ; Oxford, UK&lt;/pub-location&gt;&lt;publisher&gt;Gulf Professional Pub.&lt;/publisher&gt;&lt;isbn&gt;0750677856 (acid-free paper)&lt;/isbn&gt;&lt;accession-num&gt;13669295&lt;/accession-num&gt;&lt;call-num&gt;Reference - Science Reading Room (Adams, 5th Floor) TN870; .S6233 2005&lt;/call-num&gt;&lt;urls&gt;&lt;related-urls&gt;&lt;url&gt;http://www.loc.gov/catdir/toc/els051/2004056285.html&lt;/url&gt;&lt;url&gt;http://www.loc.gov/catdir/description/els051/2004056285.html&lt;/url&gt;&lt;/related-urls&gt;&lt;/urls&gt;&lt;/record&gt;&lt;/Cite&gt;&lt;/EndNote&gt;</w:instrText>
      </w:r>
      <w:r w:rsidR="00DE71EA">
        <w:fldChar w:fldCharType="separate"/>
      </w:r>
      <w:r w:rsidR="00817F40">
        <w:rPr>
          <w:noProof/>
        </w:rPr>
        <w:t>[</w:t>
      </w:r>
      <w:hyperlink w:anchor="_ENREF_7" w:tooltip="Lyons, 2005 #406" w:history="1">
        <w:r w:rsidR="00817F40">
          <w:rPr>
            <w:noProof/>
          </w:rPr>
          <w:t>7</w:t>
        </w:r>
      </w:hyperlink>
      <w:r w:rsidR="00817F40">
        <w:rPr>
          <w:noProof/>
        </w:rPr>
        <w:t>]</w:t>
      </w:r>
      <w:r w:rsidR="00DE71EA">
        <w:fldChar w:fldCharType="end"/>
      </w:r>
      <w:r w:rsidR="001C3BD9">
        <w:t>.  The set strength depends on several factors including the water-to-cement ratio, curing time, curing temperature, and confining pressure.  Samples from the slurry should be cured and tested for compression strength and shear bond strength.</w:t>
      </w:r>
      <w:r w:rsidR="00FD7923">
        <w:t xml:space="preserve">  </w:t>
      </w:r>
    </w:p>
    <w:p w:rsidR="007765D6" w:rsidRDefault="008D0424" w:rsidP="007765D6">
      <w:pPr>
        <w:pStyle w:val="Heading4"/>
      </w:pPr>
      <w:r>
        <w:lastRenderedPageBreak/>
        <w:t xml:space="preserve">Conventional </w:t>
      </w:r>
      <w:r w:rsidR="004A1658">
        <w:t>c</w:t>
      </w:r>
      <w:r w:rsidR="007765D6">
        <w:t xml:space="preserve">asing </w:t>
      </w:r>
      <w:r w:rsidR="004A1658">
        <w:t>c</w:t>
      </w:r>
      <w:r w:rsidR="007765D6">
        <w:t>ementing</w:t>
      </w:r>
    </w:p>
    <w:p w:rsidR="007765D6" w:rsidRDefault="007765D6" w:rsidP="007765D6">
      <w:r>
        <w:t xml:space="preserve">Circulating drilling mud prior to running the casing is </w:t>
      </w:r>
      <w:r w:rsidR="000E266E">
        <w:t xml:space="preserve">performed </w:t>
      </w:r>
      <w:r>
        <w:t xml:space="preserve">to remove any loose debris and cuttings.  </w:t>
      </w:r>
      <w:r w:rsidR="00292CBE">
        <w:t>It is common practice to circulate for several hours to insure the hole is clean and the condition of the mud is well known.</w:t>
      </w:r>
      <w:r>
        <w:t xml:space="preserve">  </w:t>
      </w:r>
    </w:p>
    <w:p w:rsidR="006B4318" w:rsidRDefault="006B4318" w:rsidP="007765D6">
      <w:r>
        <w:t>Casing is run into the well with a guide shoe</w:t>
      </w:r>
      <w:r w:rsidR="00F64D31">
        <w:t xml:space="preserve"> or float shoe (</w:t>
      </w:r>
      <w:r w:rsidR="00F64D31">
        <w:fldChar w:fldCharType="begin"/>
      </w:r>
      <w:r w:rsidR="00F64D31">
        <w:instrText xml:space="preserve"> REF _Ref379183469 \h </w:instrText>
      </w:r>
      <w:r w:rsidR="00F64D31">
        <w:fldChar w:fldCharType="separate"/>
      </w:r>
      <w:r w:rsidR="003129FA">
        <w:t xml:space="preserve">Figure </w:t>
      </w:r>
      <w:r w:rsidR="003129FA">
        <w:rPr>
          <w:noProof/>
        </w:rPr>
        <w:t>5</w:t>
      </w:r>
      <w:r w:rsidR="00F64D31">
        <w:fldChar w:fldCharType="end"/>
      </w:r>
      <w:r w:rsidR="00F64D31">
        <w:t>)</w:t>
      </w:r>
      <w:r>
        <w:t xml:space="preserve">.  The guide shoe is a bull-nosed shaped </w:t>
      </w:r>
      <w:r w:rsidR="001E36BD">
        <w:t>device</w:t>
      </w:r>
      <w:r>
        <w:t xml:space="preserve"> attached to the leadin</w:t>
      </w:r>
      <w:r w:rsidR="007056B7">
        <w:t xml:space="preserve">g edge of a casing string.  It guides </w:t>
      </w:r>
      <w:r w:rsidR="00F64D31">
        <w:t xml:space="preserve">the </w:t>
      </w:r>
      <w:r w:rsidR="007056B7">
        <w:t xml:space="preserve">casing </w:t>
      </w:r>
      <w:r w:rsidR="000E266E">
        <w:t xml:space="preserve">string </w:t>
      </w:r>
      <w:r w:rsidR="00F64D31">
        <w:t xml:space="preserve">through the wellbore and minimizes problems with getting caught on ledges or washouts.  The outer diameter of the shoe matches the casing size.  The </w:t>
      </w:r>
      <w:r w:rsidR="006753AF">
        <w:t xml:space="preserve">shoe </w:t>
      </w:r>
      <w:r w:rsidR="00F64D31">
        <w:t xml:space="preserve">is </w:t>
      </w:r>
      <w:r w:rsidR="000E266E">
        <w:t xml:space="preserve">commonly </w:t>
      </w:r>
      <w:r w:rsidR="00F64D31">
        <w:t xml:space="preserve">made of </w:t>
      </w:r>
      <w:r w:rsidR="006753AF">
        <w:t xml:space="preserve">an easily drillable material </w:t>
      </w:r>
      <w:r w:rsidR="003129FA">
        <w:t xml:space="preserve">because </w:t>
      </w:r>
      <w:r w:rsidR="006753AF">
        <w:t>in most cases</w:t>
      </w:r>
      <w:r w:rsidR="003129FA">
        <w:t>,</w:t>
      </w:r>
      <w:r w:rsidR="006753AF">
        <w:t xml:space="preserve"> the shoe must be drilled out.</w:t>
      </w:r>
      <w:r w:rsidR="00F64D31">
        <w:t xml:space="preserve"> </w:t>
      </w:r>
      <w:r w:rsidR="003129FA">
        <w:t xml:space="preserve"> </w:t>
      </w:r>
      <w:r w:rsidR="00F64D31">
        <w:t>A float shoe is similar to the guide shoe but it contains an integral check valve to prevent cement slurry from flowing back into the casing.</w:t>
      </w:r>
    </w:p>
    <w:p w:rsidR="006B4318" w:rsidRDefault="006B4318" w:rsidP="006B4318">
      <w:pPr>
        <w:keepNext/>
      </w:pPr>
      <w:r>
        <w:rPr>
          <w:noProof/>
        </w:rPr>
        <w:drawing>
          <wp:inline distT="0" distB="0" distL="0" distR="0" wp14:anchorId="315D1BDF" wp14:editId="5C02FAF9">
            <wp:extent cx="2919831" cy="3226003"/>
            <wp:effectExtent l="19050" t="19050" r="1397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L00005.ashx"/>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921129" cy="3227437"/>
                    </a:xfrm>
                    <a:prstGeom prst="rect">
                      <a:avLst/>
                    </a:prstGeom>
                    <a:ln>
                      <a:solidFill>
                        <a:schemeClr val="tx2"/>
                      </a:solidFill>
                    </a:ln>
                  </pic:spPr>
                </pic:pic>
              </a:graphicData>
            </a:graphic>
          </wp:inline>
        </w:drawing>
      </w:r>
    </w:p>
    <w:p w:rsidR="006B4318" w:rsidRDefault="006B4318" w:rsidP="006B4318">
      <w:pPr>
        <w:pStyle w:val="Caption"/>
      </w:pPr>
      <w:bookmarkStart w:id="9" w:name="_Ref379183469"/>
      <w:proofErr w:type="gramStart"/>
      <w:r>
        <w:t xml:space="preserve">Figure </w:t>
      </w:r>
      <w:r w:rsidR="00D14AFE">
        <w:fldChar w:fldCharType="begin"/>
      </w:r>
      <w:r w:rsidR="00D14AFE">
        <w:instrText xml:space="preserve"> SEQ Figure \* ARABIC </w:instrText>
      </w:r>
      <w:r w:rsidR="00D14AFE">
        <w:fldChar w:fldCharType="separate"/>
      </w:r>
      <w:r w:rsidR="003129FA">
        <w:rPr>
          <w:noProof/>
        </w:rPr>
        <w:t>5</w:t>
      </w:r>
      <w:r w:rsidR="00D14AFE">
        <w:rPr>
          <w:noProof/>
        </w:rPr>
        <w:fldChar w:fldCharType="end"/>
      </w:r>
      <w:bookmarkEnd w:id="9"/>
      <w:r>
        <w:t>.</w:t>
      </w:r>
      <w:proofErr w:type="gramEnd"/>
      <w:r>
        <w:t xml:space="preserve">  Casing shoe illustration </w:t>
      </w:r>
      <w:r w:rsidR="00C74715">
        <w:fldChar w:fldCharType="begin"/>
      </w:r>
      <w:r w:rsidR="00817F40">
        <w:instrText xml:space="preserve"> ADDIN EN.CITE &lt;EndNote&gt;&lt;Cite ExcludeYear="1"&gt;&lt;Author&gt;Schlumberger&lt;/Author&gt;&lt;RecNum&gt;439&lt;/RecNum&gt;&lt;DisplayText&gt;[11]&lt;/DisplayText&gt;&lt;record&gt;&lt;rec-number&gt;439&lt;/rec-number&gt;&lt;foreign-keys&gt;&lt;key app="EN" db-id="rwzxp2sses9f5deexw8xe0tjf5f2wep0epv9"&gt;439&lt;/key&gt;&lt;/foreign-keys&gt;&lt;ref-type name="Web Page"&gt;12&lt;/ref-type&gt;&lt;contributors&gt;&lt;authors&gt;&lt;author&gt;Schlumberger&lt;/author&gt;&lt;/authors&gt;&lt;/contributors&gt;&lt;titles&gt;&lt;title&gt;Schlumberger Oilfield Glossary&lt;/title&gt;&lt;/titles&gt;&lt;volume&gt;2014&lt;/volume&gt;&lt;number&gt;February 3&lt;/number&gt;&lt;dates&gt;&lt;/dates&gt;&lt;urls&gt;&lt;related-urls&gt;&lt;url&gt;http://www.glossary.oilfield.slb.com/en/Terms/c/casing_shoe.aspx&lt;/url&gt;&lt;/related-urls&gt;&lt;/urls&gt;&lt;/record&gt;&lt;/Cite&gt;&lt;/EndNote&gt;</w:instrText>
      </w:r>
      <w:r w:rsidR="00C74715">
        <w:fldChar w:fldCharType="separate"/>
      </w:r>
      <w:r w:rsidR="00817F40">
        <w:rPr>
          <w:noProof/>
        </w:rPr>
        <w:t>[</w:t>
      </w:r>
      <w:hyperlink w:anchor="_ENREF_11" w:tooltip="Schlumberger,  #441" w:history="1">
        <w:r w:rsidR="00817F40">
          <w:rPr>
            <w:noProof/>
          </w:rPr>
          <w:t>11</w:t>
        </w:r>
      </w:hyperlink>
      <w:r w:rsidR="00817F40">
        <w:rPr>
          <w:noProof/>
        </w:rPr>
        <w:t>]</w:t>
      </w:r>
      <w:r w:rsidR="00C74715">
        <w:fldChar w:fldCharType="end"/>
      </w:r>
    </w:p>
    <w:p w:rsidR="00292CBE" w:rsidRDefault="00F64D31" w:rsidP="007765D6">
      <w:r>
        <w:t xml:space="preserve">Above the guide shoe, the float collar acts as a flow-control valve to prevent heavier cement slurry from entering the casing from the annulus.  The float shoe and float collar are run on a single string to provide check valve redundancy.  The float collar is part of a float joint.  The joint is usually </w:t>
      </w:r>
      <w:r w:rsidR="006753AF">
        <w:t xml:space="preserve">left </w:t>
      </w:r>
      <w:r>
        <w:t>full of cement to insure an adequate supply of cement to the bottom outside of the casing.  It provides a margin of safety against casing volume calculation errors when estimating cement volumes.</w:t>
      </w:r>
    </w:p>
    <w:p w:rsidR="006B4318" w:rsidRPr="007765D6" w:rsidRDefault="00292CBE" w:rsidP="007765D6">
      <w:r>
        <w:t>In geothermal, it is common practice to cement to surface, so additional cement volume is added for the inter-casing annulus and one watches for cement to return to surface.  Most geothermal regulations have special provisions for casing not cemented to surface</w:t>
      </w:r>
      <w:r w:rsidR="003129FA">
        <w:t>,</w:t>
      </w:r>
      <w:r>
        <w:t xml:space="preserve"> and these provisions can be very expensive to implement.  A top job may be required as the cement level nearly always falls as the cement cures.  In a top job cement is placed from the surface via a </w:t>
      </w:r>
      <w:proofErr w:type="spellStart"/>
      <w:r>
        <w:t>tremie</w:t>
      </w:r>
      <w:proofErr w:type="spellEnd"/>
      <w:r>
        <w:t xml:space="preserve"> pipe to fill the annulus to the surface or very near the surface.</w:t>
      </w:r>
      <w:r w:rsidR="00F64D31">
        <w:t xml:space="preserve">  </w:t>
      </w:r>
    </w:p>
    <w:p w:rsidR="001E0C56" w:rsidRDefault="00FA4010" w:rsidP="006106F0">
      <w:r>
        <w:lastRenderedPageBreak/>
        <w:t xml:space="preserve">Centralizers are </w:t>
      </w:r>
      <w:r w:rsidR="001E0C56">
        <w:t>used to position the casing uniformly within the wellbore.  They help to insure the casing is centralized in the wellbore to allow a more uniform distribution of cement slurry around the casing.  Recommended positioning of the centralizers is described in API RP 10D-2.  Further discussion about centralizers is provided in the next section.</w:t>
      </w:r>
    </w:p>
    <w:p w:rsidR="00C30005" w:rsidRDefault="001E0C56" w:rsidP="006106F0">
      <w:r>
        <w:t xml:space="preserve">The casing string is lowered into the </w:t>
      </w:r>
      <w:r w:rsidR="00C30005">
        <w:t xml:space="preserve">hole until the shoe is a few feet off the bottom of the hole.  </w:t>
      </w:r>
      <w:r w:rsidR="00903AFF">
        <w:t>As it is lowered into the wellbore, the drilling mud is displa</w:t>
      </w:r>
      <w:r w:rsidR="00DD0CA2">
        <w:t xml:space="preserve">ced and stored in the mud tanks, while an annulus of drilling mud remains in the wellbore.  The casing string remains hanging throughout the cementing operation.  This allows the string to reciprocate and rotate to assist </w:t>
      </w:r>
      <w:r w:rsidR="00B3426E">
        <w:t>in securing a proper bond from the casing to the formation.</w:t>
      </w:r>
    </w:p>
    <w:p w:rsidR="006106F0" w:rsidRDefault="00DD0CA2" w:rsidP="006106F0">
      <w:r>
        <w:t xml:space="preserve">After the casing string is lowered into position, a </w:t>
      </w:r>
      <w:r w:rsidR="00903AFF">
        <w:t xml:space="preserve">cementing head is made up to the upper end of the string.  </w:t>
      </w:r>
      <w:r w:rsidR="00C30005">
        <w:t xml:space="preserve">The cementing head contains two </w:t>
      </w:r>
      <w:r w:rsidR="006E72E4">
        <w:t xml:space="preserve">wiper </w:t>
      </w:r>
      <w:r w:rsidR="00C30005">
        <w:t>plugs that are essential to the cementing process (</w:t>
      </w:r>
      <w:r w:rsidR="006E72E4">
        <w:fldChar w:fldCharType="begin"/>
      </w:r>
      <w:r w:rsidR="006E72E4">
        <w:instrText xml:space="preserve"> REF _Ref379202073 \h </w:instrText>
      </w:r>
      <w:r w:rsidR="006E72E4">
        <w:fldChar w:fldCharType="separate"/>
      </w:r>
      <w:r w:rsidR="003129FA">
        <w:t xml:space="preserve">Figure </w:t>
      </w:r>
      <w:r w:rsidR="003129FA">
        <w:rPr>
          <w:noProof/>
        </w:rPr>
        <w:t>6</w:t>
      </w:r>
      <w:r w:rsidR="006E72E4">
        <w:fldChar w:fldCharType="end"/>
      </w:r>
      <w:r w:rsidR="00C30005">
        <w:t xml:space="preserve">).  The </w:t>
      </w:r>
      <w:r w:rsidR="006E72E4">
        <w:t xml:space="preserve">top wiper is solid and designed to build pressure in the casing.  </w:t>
      </w:r>
      <w:r w:rsidR="00250735">
        <w:t xml:space="preserve">It maintains separation between the displacement fluid and the cement slurry.  </w:t>
      </w:r>
      <w:r w:rsidR="006E72E4">
        <w:t xml:space="preserve">The bottom plug </w:t>
      </w:r>
      <w:r w:rsidR="00250735">
        <w:t xml:space="preserve">separates the drilling mud from the cement slurry and </w:t>
      </w:r>
      <w:r w:rsidR="006E72E4">
        <w:t>has a rupture disk that allows spacer and cement slurry to flow into the annulus after a set pressure has been reached (200-400 psi).</w:t>
      </w:r>
      <w:r w:rsidR="00903AFF">
        <w:t xml:space="preserve">        </w:t>
      </w:r>
      <w:r w:rsidR="001E0C56">
        <w:t xml:space="preserve">  </w:t>
      </w:r>
    </w:p>
    <w:p w:rsidR="00DD0CA2" w:rsidRDefault="00DD0CA2" w:rsidP="00DD0CA2">
      <w:r>
        <w:rPr>
          <w:noProof/>
        </w:rPr>
        <w:drawing>
          <wp:inline distT="0" distB="0" distL="0" distR="0" wp14:anchorId="79630ECD" wp14:editId="683BC156">
            <wp:extent cx="3058810" cy="3043123"/>
            <wp:effectExtent l="19050" t="19050" r="27305"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L00007.ashx"/>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61082" cy="3045383"/>
                    </a:xfrm>
                    <a:prstGeom prst="rect">
                      <a:avLst/>
                    </a:prstGeom>
                    <a:ln>
                      <a:solidFill>
                        <a:schemeClr val="tx2"/>
                      </a:solidFill>
                    </a:ln>
                  </pic:spPr>
                </pic:pic>
              </a:graphicData>
            </a:graphic>
          </wp:inline>
        </w:drawing>
      </w:r>
    </w:p>
    <w:p w:rsidR="00DD0CA2" w:rsidRDefault="00DD0CA2" w:rsidP="00DD0CA2">
      <w:pPr>
        <w:pStyle w:val="Caption"/>
      </w:pPr>
      <w:bookmarkStart w:id="10" w:name="_Ref379202073"/>
      <w:proofErr w:type="gramStart"/>
      <w:r>
        <w:t xml:space="preserve">Figure </w:t>
      </w:r>
      <w:r w:rsidR="00D14AFE">
        <w:fldChar w:fldCharType="begin"/>
      </w:r>
      <w:r w:rsidR="00D14AFE">
        <w:instrText xml:space="preserve"> SEQ Figure \* ARABIC </w:instrText>
      </w:r>
      <w:r w:rsidR="00D14AFE">
        <w:fldChar w:fldCharType="separate"/>
      </w:r>
      <w:r w:rsidR="003129FA">
        <w:rPr>
          <w:noProof/>
        </w:rPr>
        <w:t>6</w:t>
      </w:r>
      <w:r w:rsidR="00D14AFE">
        <w:rPr>
          <w:noProof/>
        </w:rPr>
        <w:fldChar w:fldCharType="end"/>
      </w:r>
      <w:bookmarkEnd w:id="10"/>
      <w:r>
        <w:t>.</w:t>
      </w:r>
      <w:proofErr w:type="gramEnd"/>
      <w:r>
        <w:t xml:space="preserve">  Cement plugs </w:t>
      </w:r>
      <w:r w:rsidR="00C74715">
        <w:fldChar w:fldCharType="begin"/>
      </w:r>
      <w:r w:rsidR="00817F40">
        <w:instrText xml:space="preserve"> ADDIN EN.CITE &lt;EndNote&gt;&lt;Cite ExcludeYear="1"&gt;&lt;Author&gt;Schlumberger&lt;/Author&gt;&lt;RecNum&gt;441&lt;/RecNum&gt;&lt;DisplayText&gt;[11]&lt;/DisplayText&gt;&lt;record&gt;&lt;rec-number&gt;441&lt;/rec-number&gt;&lt;foreign-keys&gt;&lt;key app="EN" db-id="rwzxp2sses9f5deexw8xe0tjf5f2wep0epv9"&gt;441&lt;/key&gt;&lt;/foreign-keys&gt;&lt;ref-type name="Web Page"&gt;12&lt;/ref-type&gt;&lt;contributors&gt;&lt;authors&gt;&lt;author&gt;Schlumberger&lt;/author&gt;&lt;/authors&gt;&lt;/contributors&gt;&lt;titles&gt;&lt;title&gt;Schlumberger Oilfield Glossary&lt;/title&gt;&lt;/titles&gt;&lt;volume&gt;2014&lt;/volume&gt;&lt;number&gt;February 3&lt;/number&gt;&lt;dates&gt;&lt;/dates&gt;&lt;urls&gt;&lt;related-urls&gt;&lt;url&gt;http://www.glossary.oilfield.slb.com/en/Terms/c/cementing_plug.aspx&lt;/url&gt;&lt;/related-urls&gt;&lt;/urls&gt;&lt;/record&gt;&lt;/Cite&gt;&lt;/EndNote&gt;</w:instrText>
      </w:r>
      <w:r w:rsidR="00C74715">
        <w:fldChar w:fldCharType="separate"/>
      </w:r>
      <w:r w:rsidR="00817F40">
        <w:rPr>
          <w:noProof/>
        </w:rPr>
        <w:t>[</w:t>
      </w:r>
      <w:hyperlink w:anchor="_ENREF_11" w:tooltip="Schlumberger,  #441" w:history="1">
        <w:r w:rsidR="00817F40">
          <w:rPr>
            <w:noProof/>
          </w:rPr>
          <w:t>11</w:t>
        </w:r>
      </w:hyperlink>
      <w:r w:rsidR="00817F40">
        <w:rPr>
          <w:noProof/>
        </w:rPr>
        <w:t>]</w:t>
      </w:r>
      <w:r w:rsidR="00C74715">
        <w:fldChar w:fldCharType="end"/>
      </w:r>
    </w:p>
    <w:p w:rsidR="00FF10E4" w:rsidRDefault="006E72E4" w:rsidP="00FF10E4">
      <w:r>
        <w:t xml:space="preserve">Initially, both plugs are held in place with </w:t>
      </w:r>
      <w:r w:rsidR="00250735">
        <w:t xml:space="preserve">retaining </w:t>
      </w:r>
      <w:r>
        <w:t>pins in the cementing head (</w:t>
      </w:r>
      <w:r>
        <w:fldChar w:fldCharType="begin"/>
      </w:r>
      <w:r>
        <w:instrText xml:space="preserve"> REF _Ref379202002 \h </w:instrText>
      </w:r>
      <w:r>
        <w:fldChar w:fldCharType="separate"/>
      </w:r>
      <w:r w:rsidR="003129FA">
        <w:t xml:space="preserve">Figure </w:t>
      </w:r>
      <w:r w:rsidR="003129FA">
        <w:rPr>
          <w:noProof/>
        </w:rPr>
        <w:t>7</w:t>
      </w:r>
      <w:r>
        <w:fldChar w:fldCharType="end"/>
      </w:r>
      <w:r>
        <w:t xml:space="preserve">a). </w:t>
      </w:r>
      <w:r w:rsidR="00250735">
        <w:t xml:space="preserve">  The bottom pin is released when the spacer</w:t>
      </w:r>
      <w:r w:rsidR="00D036BB">
        <w:rPr>
          <w:rStyle w:val="FootnoteReference"/>
        </w:rPr>
        <w:footnoteReference w:id="2"/>
      </w:r>
      <w:r w:rsidR="00250735">
        <w:t xml:space="preserve"> and cement slurry are ready to be pumped into the casing (</w:t>
      </w:r>
      <w:r w:rsidR="00250735">
        <w:fldChar w:fldCharType="begin"/>
      </w:r>
      <w:r w:rsidR="00250735">
        <w:instrText xml:space="preserve"> REF _Ref379202002 \h </w:instrText>
      </w:r>
      <w:r w:rsidR="00250735">
        <w:fldChar w:fldCharType="separate"/>
      </w:r>
      <w:r w:rsidR="003129FA">
        <w:t xml:space="preserve">Figure </w:t>
      </w:r>
      <w:r w:rsidR="003129FA">
        <w:rPr>
          <w:noProof/>
        </w:rPr>
        <w:t>7</w:t>
      </w:r>
      <w:r w:rsidR="00250735">
        <w:fldChar w:fldCharType="end"/>
      </w:r>
      <w:r w:rsidR="00250735">
        <w:t xml:space="preserve">b).  When all of the cement has been pumped, the top wiper is released and a displacing fluid </w:t>
      </w:r>
      <w:r w:rsidR="00B3426E">
        <w:t xml:space="preserve">(often drilling mud) </w:t>
      </w:r>
      <w:r w:rsidR="00250735">
        <w:t>is pumped behind it (</w:t>
      </w:r>
      <w:r w:rsidR="00250735">
        <w:fldChar w:fldCharType="begin"/>
      </w:r>
      <w:r w:rsidR="00250735">
        <w:instrText xml:space="preserve"> REF _Ref379202002 \h </w:instrText>
      </w:r>
      <w:r w:rsidR="00250735">
        <w:fldChar w:fldCharType="separate"/>
      </w:r>
      <w:r w:rsidR="003129FA">
        <w:t xml:space="preserve">Figure </w:t>
      </w:r>
      <w:r w:rsidR="003129FA">
        <w:rPr>
          <w:noProof/>
        </w:rPr>
        <w:t>7</w:t>
      </w:r>
      <w:r w:rsidR="00250735">
        <w:fldChar w:fldCharType="end"/>
      </w:r>
      <w:r w:rsidR="00250735">
        <w:t xml:space="preserve">c).  </w:t>
      </w:r>
      <w:r>
        <w:t>When the bottom plug reaches the float collar,</w:t>
      </w:r>
      <w:r w:rsidR="00294016">
        <w:t xml:space="preserve"> the increase in </w:t>
      </w:r>
      <w:r w:rsidR="00294016">
        <w:lastRenderedPageBreak/>
        <w:t xml:space="preserve">pressure eventually causes the rupture disk to burst.  </w:t>
      </w:r>
      <w:r>
        <w:t>After the rupture disk bursts, the spacer flows into the annulus between the casing and the wellbore and displaces the remaining drilling mud</w:t>
      </w:r>
      <w:r w:rsidR="00294016">
        <w:t xml:space="preserve"> (</w:t>
      </w:r>
      <w:r w:rsidR="00294016">
        <w:fldChar w:fldCharType="begin"/>
      </w:r>
      <w:r w:rsidR="00294016">
        <w:instrText xml:space="preserve"> REF _Ref379202002 \h </w:instrText>
      </w:r>
      <w:r w:rsidR="00294016">
        <w:fldChar w:fldCharType="separate"/>
      </w:r>
      <w:r w:rsidR="003129FA">
        <w:t xml:space="preserve">Figure </w:t>
      </w:r>
      <w:r w:rsidR="003129FA">
        <w:rPr>
          <w:noProof/>
        </w:rPr>
        <w:t>7</w:t>
      </w:r>
      <w:r w:rsidR="00294016">
        <w:fldChar w:fldCharType="end"/>
      </w:r>
      <w:r w:rsidR="00294016">
        <w:t>d)</w:t>
      </w:r>
      <w:r>
        <w:t>.</w:t>
      </w:r>
      <w:r w:rsidR="00725C7E">
        <w:t xml:space="preserve">  Additional pumping drives the slurry cement into the annulus until the top plug reaches the bottom plug (</w:t>
      </w:r>
      <w:r w:rsidR="00725C7E">
        <w:fldChar w:fldCharType="begin"/>
      </w:r>
      <w:r w:rsidR="00725C7E">
        <w:instrText xml:space="preserve"> REF _Ref379202002 \h </w:instrText>
      </w:r>
      <w:r w:rsidR="00725C7E">
        <w:fldChar w:fldCharType="separate"/>
      </w:r>
      <w:r w:rsidR="003129FA">
        <w:t xml:space="preserve">Figure </w:t>
      </w:r>
      <w:r w:rsidR="003129FA">
        <w:rPr>
          <w:noProof/>
        </w:rPr>
        <w:t>7</w:t>
      </w:r>
      <w:r w:rsidR="00725C7E">
        <w:fldChar w:fldCharType="end"/>
      </w:r>
      <w:r w:rsidR="00725C7E">
        <w:t>e).</w:t>
      </w:r>
      <w:r w:rsidR="00FF10E4">
        <w:t xml:space="preserve">  At this point, pressure in the pumps begins to build until a desired set point.  The casing is then pressure tested </w:t>
      </w:r>
      <w:r w:rsidR="00D036BB">
        <w:t xml:space="preserve">(from the outside to the inside) </w:t>
      </w:r>
      <w:r w:rsidR="00FF10E4">
        <w:t>to check for leaks.</w:t>
      </w:r>
    </w:p>
    <w:p w:rsidR="00592969" w:rsidRDefault="00592969" w:rsidP="006106F0"/>
    <w:p w:rsidR="00FA4010" w:rsidRDefault="00C30005" w:rsidP="006106F0">
      <w:r w:rsidRPr="00C30005">
        <w:rPr>
          <w:noProof/>
        </w:rPr>
        <w:drawing>
          <wp:inline distT="0" distB="0" distL="0" distR="0" wp14:anchorId="5774EB9D" wp14:editId="3B7FCB0A">
            <wp:extent cx="5943600" cy="4320400"/>
            <wp:effectExtent l="19050" t="19050" r="19050" b="2349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4320400"/>
                    </a:xfrm>
                    <a:prstGeom prst="rect">
                      <a:avLst/>
                    </a:prstGeom>
                    <a:noFill/>
                    <a:ln>
                      <a:solidFill>
                        <a:schemeClr val="tx2"/>
                      </a:solidFill>
                    </a:ln>
                  </pic:spPr>
                </pic:pic>
              </a:graphicData>
            </a:graphic>
          </wp:inline>
        </w:drawing>
      </w:r>
    </w:p>
    <w:p w:rsidR="003E7B2A" w:rsidRDefault="00CA1BEC" w:rsidP="003E7B2A">
      <w:pPr>
        <w:pStyle w:val="Caption"/>
      </w:pPr>
      <w:bookmarkStart w:id="11" w:name="_Ref379202002"/>
      <w:proofErr w:type="gramStart"/>
      <w:r>
        <w:t xml:space="preserve">Figure </w:t>
      </w:r>
      <w:r w:rsidR="00D14AFE">
        <w:fldChar w:fldCharType="begin"/>
      </w:r>
      <w:r w:rsidR="00D14AFE">
        <w:instrText xml:space="preserve"> SEQ Figure \* ARABIC </w:instrText>
      </w:r>
      <w:r w:rsidR="00D14AFE">
        <w:fldChar w:fldCharType="separate"/>
      </w:r>
      <w:r w:rsidR="003129FA">
        <w:rPr>
          <w:noProof/>
        </w:rPr>
        <w:t>7</w:t>
      </w:r>
      <w:r w:rsidR="00D14AFE">
        <w:rPr>
          <w:noProof/>
        </w:rPr>
        <w:fldChar w:fldCharType="end"/>
      </w:r>
      <w:bookmarkEnd w:id="11"/>
      <w:r>
        <w:t>.</w:t>
      </w:r>
      <w:proofErr w:type="gramEnd"/>
      <w:r>
        <w:t xml:space="preserve"> Single-stage cementing steps </w:t>
      </w:r>
      <w:r w:rsidR="00C74715">
        <w:fldChar w:fldCharType="begin"/>
      </w:r>
      <w:r w:rsidR="00817F40">
        <w:instrText xml:space="preserve"> ADDIN EN.CITE &lt;EndNote&gt;&lt;Cite ExcludeYear="1"&gt;&lt;Author&gt;Petroleum Support&lt;/Author&gt;&lt;RecNum&gt;440&lt;/RecNum&gt;&lt;DisplayText&gt;[12]&lt;/DisplayText&gt;&lt;record&gt;&lt;rec-number&gt;440&lt;/rec-number&gt;&lt;foreign-keys&gt;&lt;key app="EN" db-id="rwzxp2sses9f5deexw8xe0tjf5f2wep0epv9"&gt;440&lt;/key&gt;&lt;/foreign-keys&gt;&lt;ref-type name="Web Page"&gt;12&lt;/ref-type&gt;&lt;contributors&gt;&lt;authors&gt;&lt;author&gt;Petroleum Support&lt;/author&gt;&lt;/authors&gt;&lt;/contributors&gt;&lt;titles&gt;&lt;title&gt;Single State Cementing Operation&lt;/title&gt;&lt;/titles&gt;&lt;volume&gt;2014&lt;/volume&gt;&lt;number&gt;February 3&lt;/number&gt;&lt;dates&gt;&lt;/dates&gt;&lt;urls&gt;&lt;related-urls&gt;&lt;url&gt;http://petroleumsupport.com/single-stage-cementing-operation/&lt;/url&gt;&lt;/related-urls&gt;&lt;/urls&gt;&lt;/record&gt;&lt;/Cite&gt;&lt;/EndNote&gt;</w:instrText>
      </w:r>
      <w:r w:rsidR="00C74715">
        <w:fldChar w:fldCharType="separate"/>
      </w:r>
      <w:r w:rsidR="00817F40">
        <w:rPr>
          <w:noProof/>
        </w:rPr>
        <w:t>[</w:t>
      </w:r>
      <w:hyperlink w:anchor="_ENREF_12" w:tooltip="Support,  #440" w:history="1">
        <w:r w:rsidR="00817F40">
          <w:rPr>
            <w:noProof/>
          </w:rPr>
          <w:t>12</w:t>
        </w:r>
      </w:hyperlink>
      <w:r w:rsidR="00817F40">
        <w:rPr>
          <w:noProof/>
        </w:rPr>
        <w:t>]</w:t>
      </w:r>
      <w:r w:rsidR="00C74715">
        <w:fldChar w:fldCharType="end"/>
      </w:r>
    </w:p>
    <w:p w:rsidR="00610343" w:rsidRDefault="00610343" w:rsidP="00610343">
      <w:r>
        <w:t>The displacement fluid is usually lighter than the cement slurry.  This creates a pressure imbalance and results in the casing being under compression while the cement sets.  This preload allows the cement-casing interface to always be loaded to improve the bond between the surfaces.</w:t>
      </w:r>
    </w:p>
    <w:p w:rsidR="00FA3D39" w:rsidRDefault="008D0424" w:rsidP="00FA3D39">
      <w:pPr>
        <w:pStyle w:val="Heading4"/>
      </w:pPr>
      <w:r>
        <w:t xml:space="preserve">Reverse circulation </w:t>
      </w:r>
      <w:r w:rsidR="00FA3D39">
        <w:t>cementing</w:t>
      </w:r>
    </w:p>
    <w:p w:rsidR="00972273" w:rsidRDefault="00142D08" w:rsidP="00FA3D39">
      <w:r>
        <w:t>In</w:t>
      </w:r>
      <w:r w:rsidR="004C0419">
        <w:t xml:space="preserve"> </w:t>
      </w:r>
      <w:r>
        <w:t xml:space="preserve">conventional </w:t>
      </w:r>
      <w:r w:rsidR="004C0419">
        <w:t xml:space="preserve">O&amp;G </w:t>
      </w:r>
      <w:r>
        <w:t xml:space="preserve">cementing operations, cement is typically not run back to the surface.  Only a portion of the casing is cemented in place.  However, in geothermal where high thermal stresses </w:t>
      </w:r>
      <w:r w:rsidR="00972273">
        <w:t>require uniform cement over the full length of casing, cement is run all the way back to the surface.</w:t>
      </w:r>
    </w:p>
    <w:p w:rsidR="00695F11" w:rsidRDefault="00972273" w:rsidP="00FA3D39">
      <w:r>
        <w:t xml:space="preserve">Using conventional cementing techniques, this creates unique challenges.  </w:t>
      </w:r>
      <w:r w:rsidR="00695F11">
        <w:t xml:space="preserve">The high pump pressures required to pump cement back to the surface create high downhole pressures.  This can lead to lost </w:t>
      </w:r>
      <w:r w:rsidR="00695F11">
        <w:lastRenderedPageBreak/>
        <w:t xml:space="preserve">circulation where the cement is pumped into the formation rather than back up the annulus.  The high pump pressures can also “float” the string </w:t>
      </w:r>
      <w:r w:rsidR="00A447F2">
        <w:fldChar w:fldCharType="begin"/>
      </w:r>
      <w:r w:rsidR="00817F40">
        <w:instrText xml:space="preserve"> ADDIN EN.CITE &lt;EndNote&gt;&lt;Cite&gt;&lt;Author&gt;Hernandez&lt;/Author&gt;&lt;Year&gt;2010&lt;/Year&gt;&lt;RecNum&gt;450&lt;/RecNum&gt;&lt;DisplayText&gt;[13]&lt;/DisplayText&gt;&lt;record&gt;&lt;rec-number&gt;450&lt;/rec-number&gt;&lt;foreign-keys&gt;&lt;key app="EN" db-id="rwzxp2sses9f5deexw8xe0tjf5f2wep0epv9"&gt;450&lt;/key&gt;&lt;/foreign-keys&gt;&lt;ref-type name="Conference Paper"&gt;47&lt;/ref-type&gt;&lt;contributors&gt;&lt;authors&gt;&lt;author&gt;Rafael Hernandez&lt;/author&gt;&lt;author&gt;Hao Nguyen&lt;/author&gt;&lt;/authors&gt;&lt;/contributors&gt;&lt;titles&gt;&lt;title&gt;Reverse-Circulation Cementing and Foamed Latex Cement Enable Drilling in Lost-Circulation Zones&lt;/title&gt;&lt;secondary-title&gt;Proceedings World Geothermal Congress 2010&lt;/secondary-title&gt;&lt;/titles&gt;&lt;dates&gt;&lt;year&gt;2010&lt;/year&gt;&lt;pub-dates&gt;&lt;date&gt;25-29 April 2010&lt;/date&gt;&lt;/pub-dates&gt;&lt;/dates&gt;&lt;pub-location&gt;Bali, Indonesia&lt;/pub-location&gt;&lt;urls&gt;&lt;/urls&gt;&lt;/record&gt;&lt;/Cite&gt;&lt;/EndNote&gt;</w:instrText>
      </w:r>
      <w:r w:rsidR="00A447F2">
        <w:fldChar w:fldCharType="separate"/>
      </w:r>
      <w:r w:rsidR="00817F40">
        <w:rPr>
          <w:noProof/>
        </w:rPr>
        <w:t>[</w:t>
      </w:r>
      <w:hyperlink w:anchor="_ENREF_13" w:tooltip="Hernandez, 2010 #450" w:history="1">
        <w:r w:rsidR="00817F40">
          <w:rPr>
            <w:noProof/>
          </w:rPr>
          <w:t>13</w:t>
        </w:r>
      </w:hyperlink>
      <w:r w:rsidR="00817F40">
        <w:rPr>
          <w:noProof/>
        </w:rPr>
        <w:t>]</w:t>
      </w:r>
      <w:r w:rsidR="00A447F2">
        <w:fldChar w:fldCharType="end"/>
      </w:r>
      <w:r w:rsidR="00695F11">
        <w:t>.</w:t>
      </w:r>
      <w:r>
        <w:t xml:space="preserve">  </w:t>
      </w:r>
    </w:p>
    <w:p w:rsidR="008D0424" w:rsidRDefault="00695F11" w:rsidP="008D0424">
      <w:r>
        <w:t>An alternative to the conventional cementing technique is</w:t>
      </w:r>
      <w:r w:rsidR="008D0424">
        <w:t xml:space="preserve"> reverse circulation </w:t>
      </w:r>
      <w:r w:rsidR="001C6382">
        <w:t xml:space="preserve">cementing </w:t>
      </w:r>
      <w:r w:rsidR="008D0424">
        <w:fldChar w:fldCharType="begin"/>
      </w:r>
      <w:r w:rsidR="00817F40">
        <w:instrText xml:space="preserve"> ADDIN EN.CITE &lt;EndNote&gt;&lt;Cite ExcludeYear="1"&gt;&lt;Author&gt;Rickard&lt;/Author&gt;&lt;RecNum&gt;445&lt;/RecNum&gt;&lt;DisplayText&gt;[14]&lt;/DisplayText&gt;&lt;record&gt;&lt;rec-number&gt;445&lt;/rec-number&gt;&lt;foreign-keys&gt;&lt;key app="EN" db-id="rwzxp2sses9f5deexw8xe0tjf5f2wep0epv9"&gt;445&lt;/key&gt;&lt;/foreign-keys&gt;&lt;ref-type name="Journal Article"&gt;17&lt;/ref-type&gt;&lt;contributors&gt;&lt;authors&gt;&lt;author&gt;Bill Rickard&lt;/author&gt;&lt;author&gt;Abraham S. Samuel&lt;/author&gt;&lt;author&gt;Benedicto Alarcon&lt;/author&gt;&lt;author&gt;Alan Bailey&amp;#xD;Wendell Howard&lt;/author&gt;&lt;/authors&gt;&lt;/contributors&gt;&lt;titles&gt;&lt;title&gt;Reverse Circulation Cementing of Geothermal Wells: A Comparison of Methods&lt;/title&gt;&lt;secondary-title&gt;GRC Transactions&lt;/secondary-title&gt;&lt;/titles&gt;&lt;periodical&gt;&lt;full-title&gt;GRC Transactions&lt;/full-title&gt;&lt;/periodical&gt;&lt;pages&gt;225-228&lt;/pages&gt;&lt;volume&gt;35&lt;/volume&gt;&lt;dates&gt;&lt;year&gt;2011&lt;/year&gt;&lt;/dates&gt;&lt;urls&gt;&lt;/urls&gt;&lt;/record&gt;&lt;/Cite&gt;&lt;/EndNote&gt;</w:instrText>
      </w:r>
      <w:r w:rsidR="008D0424">
        <w:fldChar w:fldCharType="separate"/>
      </w:r>
      <w:r w:rsidR="00817F40">
        <w:rPr>
          <w:noProof/>
        </w:rPr>
        <w:t>[</w:t>
      </w:r>
      <w:hyperlink w:anchor="_ENREF_14" w:tooltip="Rickard, 2011 #445" w:history="1">
        <w:r w:rsidR="00817F40">
          <w:rPr>
            <w:noProof/>
          </w:rPr>
          <w:t>14</w:t>
        </w:r>
      </w:hyperlink>
      <w:r w:rsidR="00817F40">
        <w:rPr>
          <w:noProof/>
        </w:rPr>
        <w:t>]</w:t>
      </w:r>
      <w:r w:rsidR="008D0424">
        <w:fldChar w:fldCharType="end"/>
      </w:r>
      <w:r w:rsidR="008D0424">
        <w:t xml:space="preserve">.  In reverse circulation, the cement is pumped into the annulus with returns going through the casing.  Reverse circulation cementing has several advantages compared to conventional cementing.  It reduces bottom </w:t>
      </w:r>
      <w:proofErr w:type="gramStart"/>
      <w:r w:rsidR="008D0424">
        <w:t>hole</w:t>
      </w:r>
      <w:proofErr w:type="gramEnd"/>
      <w:r w:rsidR="008D0424">
        <w:t xml:space="preserve"> pressure </w:t>
      </w:r>
      <w:r w:rsidR="007E33F6">
        <w:t xml:space="preserve">by lowering the effective circulating density (ECD).  </w:t>
      </w:r>
      <w:r w:rsidR="00F91DC9">
        <w:t xml:space="preserve">Effective circulating density differs from static density in that the effect of fluid flow creates a pressure drop that must be considered (Bernoulli’s principle).  </w:t>
      </w:r>
      <w:r w:rsidR="007E33F6">
        <w:t xml:space="preserve">Although the hydrostatic pressure is the same, </w:t>
      </w:r>
      <w:r w:rsidR="008D0424">
        <w:t>the cement does not have to be pumped back to the surface</w:t>
      </w:r>
      <w:r w:rsidR="007E33F6">
        <w:t xml:space="preserve"> which lowers the pumping requirements</w:t>
      </w:r>
      <w:r w:rsidR="008D0424">
        <w:t xml:space="preserve">. </w:t>
      </w:r>
      <w:r w:rsidR="007E33F6">
        <w:t xml:space="preserve"> </w:t>
      </w:r>
      <w:r w:rsidR="008D0424">
        <w:t xml:space="preserve">It </w:t>
      </w:r>
      <w:r w:rsidR="004C0419">
        <w:t xml:space="preserve">can </w:t>
      </w:r>
      <w:r w:rsidR="008D0424">
        <w:t xml:space="preserve">also minimize the amount of retardant required so this can lessen the set time.  </w:t>
      </w:r>
    </w:p>
    <w:p w:rsidR="00A13B2C" w:rsidRDefault="007E33F6" w:rsidP="008D0424">
      <w:r>
        <w:t xml:space="preserve">There are four basic techniques used in reverse circulation cementing </w:t>
      </w:r>
      <w:r w:rsidR="00A447F2">
        <w:fldChar w:fldCharType="begin"/>
      </w:r>
      <w:r w:rsidR="00817F40">
        <w:instrText xml:space="preserve"> ADDIN EN.CITE &lt;EndNote&gt;&lt;Cite ExcludeYear="1"&gt;&lt;Author&gt;Rickard&lt;/Author&gt;&lt;Year&gt;2011&lt;/Year&gt;&lt;RecNum&gt;1&lt;/RecNum&gt;&lt;DisplayText&gt;[15]&lt;/DisplayText&gt;&lt;record&gt;&lt;rec-number&gt;1&lt;/rec-number&gt;&lt;foreign-keys&gt;&lt;key app="EN" db-id="are2p99v9wzvwoepps1vpawedtxvf52zwv9s"&gt;1&lt;/key&gt;&lt;/foreign-keys&gt;&lt;ref-type name="Journal Article"&gt;17&lt;/ref-type&gt;&lt;contributors&gt;&lt;authors&gt;&lt;author&gt;Bill Rickard&lt;/author&gt;&lt;author&gt;Abraham S. Samuel&lt;/author&gt;&lt;author&gt;Benedicto Alarcon&lt;/author&gt;&lt;author&gt;Alan Bailey&lt;/author&gt;&lt;author&gt;Wendell Howard&lt;/author&gt;&lt;/authors&gt;&lt;/contributors&gt;&lt;titles&gt;&lt;title&gt;Reverse Circulation Cementing of Geothermal Wells: A Comparison of Methods&lt;/title&gt;&lt;secondary-title&gt;GRC Transactions&lt;/secondary-title&gt;&lt;/titles&gt;&lt;pages&gt;225-228&lt;/pages&gt;&lt;volume&gt;35&lt;/volume&gt;&lt;dates&gt;&lt;year&gt;2011&lt;/year&gt;&lt;/dates&gt;&lt;urls&gt;&lt;/urls&gt;&lt;/record&gt;&lt;/Cite&gt;&lt;/EndNote&gt;</w:instrText>
      </w:r>
      <w:r w:rsidR="00A447F2">
        <w:fldChar w:fldCharType="separate"/>
      </w:r>
      <w:r w:rsidR="00817F40">
        <w:rPr>
          <w:noProof/>
        </w:rPr>
        <w:t>[</w:t>
      </w:r>
      <w:hyperlink w:anchor="_ENREF_15" w:tooltip="Rickard, 2011 #1" w:history="1">
        <w:r w:rsidR="00817F40">
          <w:rPr>
            <w:noProof/>
          </w:rPr>
          <w:t>15</w:t>
        </w:r>
      </w:hyperlink>
      <w:r w:rsidR="00817F40">
        <w:rPr>
          <w:noProof/>
        </w:rPr>
        <w:t>]</w:t>
      </w:r>
      <w:r w:rsidR="00A447F2">
        <w:fldChar w:fldCharType="end"/>
      </w:r>
      <w:r>
        <w:t>.</w:t>
      </w:r>
      <w:r w:rsidR="00CC24AF">
        <w:t xml:space="preserve">  A summary of each is provided in </w:t>
      </w:r>
      <w:r w:rsidR="00CC24AF">
        <w:fldChar w:fldCharType="begin"/>
      </w:r>
      <w:r w:rsidR="00CC24AF">
        <w:instrText xml:space="preserve"> REF _Ref379879591 \h </w:instrText>
      </w:r>
      <w:r w:rsidR="00CC24AF">
        <w:fldChar w:fldCharType="separate"/>
      </w:r>
      <w:r w:rsidR="003129FA">
        <w:t xml:space="preserve">Table </w:t>
      </w:r>
      <w:r w:rsidR="003129FA">
        <w:rPr>
          <w:noProof/>
        </w:rPr>
        <w:t>5</w:t>
      </w:r>
      <w:r w:rsidR="00CC24AF">
        <w:fldChar w:fldCharType="end"/>
      </w:r>
      <w:r w:rsidR="00CC24AF">
        <w:t>.</w:t>
      </w:r>
      <w:r>
        <w:t xml:space="preserve">  </w:t>
      </w:r>
    </w:p>
    <w:p w:rsidR="007E33F6" w:rsidRDefault="007E33F6" w:rsidP="00A10857">
      <w:pPr>
        <w:pStyle w:val="Heading5"/>
      </w:pPr>
      <w:r>
        <w:t>Conventional Reverse Cementing</w:t>
      </w:r>
    </w:p>
    <w:p w:rsidR="007E33F6" w:rsidRPr="007E33F6" w:rsidRDefault="007E33F6">
      <w:r>
        <w:t>A logging tool and tracer are used to detect cement in the shoe (</w:t>
      </w:r>
      <w:r>
        <w:fldChar w:fldCharType="begin"/>
      </w:r>
      <w:r>
        <w:instrText xml:space="preserve"> REF _Ref379878295 \h </w:instrText>
      </w:r>
      <w:r>
        <w:fldChar w:fldCharType="separate"/>
      </w:r>
      <w:r w:rsidR="003129FA">
        <w:t xml:space="preserve">Figure </w:t>
      </w:r>
      <w:r w:rsidR="003129FA">
        <w:rPr>
          <w:noProof/>
        </w:rPr>
        <w:t>8</w:t>
      </w:r>
      <w:r>
        <w:fldChar w:fldCharType="end"/>
      </w:r>
      <w:r>
        <w:t>).  Tail slurry (higher-density cement) with a tracer is pumped down the annulus followed by “lead” slurry (light weight cement).  The lead slurry displaces the tail slurry until the tail slurry fills the shoe.  A logging tool detects the presence of the tail slurry</w:t>
      </w:r>
      <w:r w:rsidR="00AC662B">
        <w:t xml:space="preserve"> </w:t>
      </w:r>
      <w:r w:rsidR="004C0419">
        <w:t>indicating</w:t>
      </w:r>
      <w:r w:rsidR="00AC662B">
        <w:t xml:space="preserve"> when the </w:t>
      </w:r>
      <w:r w:rsidR="006C6454">
        <w:t>shoe is filled</w:t>
      </w:r>
      <w:r>
        <w:t>.</w:t>
      </w:r>
    </w:p>
    <w:p w:rsidR="008D0424" w:rsidRDefault="008D0424" w:rsidP="008D0424"/>
    <w:p w:rsidR="00703EB3" w:rsidRDefault="00703EB3" w:rsidP="008D0424">
      <w:r w:rsidRPr="00703EB3">
        <w:rPr>
          <w:noProof/>
        </w:rPr>
        <w:drawing>
          <wp:inline distT="0" distB="0" distL="0" distR="0" wp14:anchorId="24DA60E5" wp14:editId="68C3E44B">
            <wp:extent cx="5943600" cy="28919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91919"/>
                    </a:xfrm>
                    <a:prstGeom prst="rect">
                      <a:avLst/>
                    </a:prstGeom>
                    <a:noFill/>
                    <a:ln>
                      <a:noFill/>
                    </a:ln>
                  </pic:spPr>
                </pic:pic>
              </a:graphicData>
            </a:graphic>
          </wp:inline>
        </w:drawing>
      </w:r>
    </w:p>
    <w:p w:rsidR="00BA7990" w:rsidRDefault="00BA7990" w:rsidP="00AC662B">
      <w:pPr>
        <w:pStyle w:val="Caption"/>
      </w:pPr>
      <w:bookmarkStart w:id="12" w:name="_Ref379878295"/>
      <w:proofErr w:type="gramStart"/>
      <w:r>
        <w:t xml:space="preserve">Figure </w:t>
      </w:r>
      <w:r w:rsidR="00D14AFE">
        <w:fldChar w:fldCharType="begin"/>
      </w:r>
      <w:r w:rsidR="00D14AFE">
        <w:instrText xml:space="preserve"> SEQ Figure \* ARABIC </w:instrText>
      </w:r>
      <w:r w:rsidR="00D14AFE">
        <w:fldChar w:fldCharType="separate"/>
      </w:r>
      <w:r w:rsidR="003129FA">
        <w:rPr>
          <w:noProof/>
        </w:rPr>
        <w:t>8</w:t>
      </w:r>
      <w:r w:rsidR="00D14AFE">
        <w:rPr>
          <w:noProof/>
        </w:rPr>
        <w:fldChar w:fldCharType="end"/>
      </w:r>
      <w:bookmarkEnd w:id="12"/>
      <w:r>
        <w:t>.</w:t>
      </w:r>
      <w:proofErr w:type="gramEnd"/>
      <w:r>
        <w:t xml:space="preserve">  Conventional reverse cement (no float)</w:t>
      </w:r>
    </w:p>
    <w:p w:rsidR="0075535A" w:rsidRDefault="0075535A" w:rsidP="008D0424"/>
    <w:p w:rsidR="007E33F6" w:rsidRDefault="007E33F6" w:rsidP="00AC662B">
      <w:pPr>
        <w:pStyle w:val="Heading5"/>
      </w:pPr>
      <w:r>
        <w:lastRenderedPageBreak/>
        <w:t>Stab-Through Marker to Surface</w:t>
      </w:r>
    </w:p>
    <w:p w:rsidR="007E33F6" w:rsidRPr="007E33F6" w:rsidRDefault="00500D61">
      <w:r>
        <w:t>This type of reverse circulation cementing requires stabbing drill pipe through the float.  Doing this allows the drill pipe to act as a return conduit for cement (</w:t>
      </w:r>
      <w:r>
        <w:fldChar w:fldCharType="begin"/>
      </w:r>
      <w:r>
        <w:instrText xml:space="preserve"> REF _Ref379878886 \h </w:instrText>
      </w:r>
      <w:r>
        <w:fldChar w:fldCharType="separate"/>
      </w:r>
      <w:r w:rsidR="003129FA">
        <w:t xml:space="preserve">Figure </w:t>
      </w:r>
      <w:r w:rsidR="003129FA">
        <w:rPr>
          <w:noProof/>
        </w:rPr>
        <w:t>9</w:t>
      </w:r>
      <w:r>
        <w:fldChar w:fldCharType="end"/>
      </w:r>
      <w:r>
        <w:t>).  A marker along with the tail slurry is initially pumped into the annulus.  Lead slurry is then pumped in to displace the tail slurry into the shoe.  The slurry continues flowing through the drill pipe until the marker is seen at the surface.</w:t>
      </w:r>
    </w:p>
    <w:p w:rsidR="0075535A" w:rsidRDefault="005578BB" w:rsidP="008D0424">
      <w:r w:rsidRPr="005578BB">
        <w:rPr>
          <w:noProof/>
        </w:rPr>
        <w:drawing>
          <wp:inline distT="0" distB="0" distL="0" distR="0" wp14:anchorId="3E19FD71" wp14:editId="061CBCFC">
            <wp:extent cx="5943600" cy="2927315"/>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927315"/>
                    </a:xfrm>
                    <a:prstGeom prst="rect">
                      <a:avLst/>
                    </a:prstGeom>
                    <a:noFill/>
                    <a:ln>
                      <a:noFill/>
                    </a:ln>
                  </pic:spPr>
                </pic:pic>
              </a:graphicData>
            </a:graphic>
          </wp:inline>
        </w:drawing>
      </w:r>
    </w:p>
    <w:p w:rsidR="00BA7990" w:rsidRDefault="00BA7990" w:rsidP="00AC662B">
      <w:pPr>
        <w:pStyle w:val="Caption"/>
      </w:pPr>
      <w:bookmarkStart w:id="13" w:name="_Ref379878886"/>
      <w:proofErr w:type="gramStart"/>
      <w:r>
        <w:t xml:space="preserve">Figure </w:t>
      </w:r>
      <w:r w:rsidR="00D14AFE">
        <w:fldChar w:fldCharType="begin"/>
      </w:r>
      <w:r w:rsidR="00D14AFE">
        <w:instrText xml:space="preserve"> SEQ Figure \* ARABIC </w:instrText>
      </w:r>
      <w:r w:rsidR="00D14AFE">
        <w:fldChar w:fldCharType="separate"/>
      </w:r>
      <w:r w:rsidR="003129FA">
        <w:rPr>
          <w:noProof/>
        </w:rPr>
        <w:t>9</w:t>
      </w:r>
      <w:r w:rsidR="00D14AFE">
        <w:rPr>
          <w:noProof/>
        </w:rPr>
        <w:fldChar w:fldCharType="end"/>
      </w:r>
      <w:bookmarkEnd w:id="13"/>
      <w:r w:rsidR="00843920">
        <w:t>.</w:t>
      </w:r>
      <w:proofErr w:type="gramEnd"/>
      <w:r w:rsidR="00843920">
        <w:t xml:space="preserve">  Stab-</w:t>
      </w:r>
      <w:r>
        <w:t>through with marker to surface</w:t>
      </w:r>
    </w:p>
    <w:p w:rsidR="00FA3D39" w:rsidRDefault="00843920" w:rsidP="00AC662B">
      <w:pPr>
        <w:pStyle w:val="Heading5"/>
      </w:pPr>
      <w:r>
        <w:t>Stab-Through Lead to Surface</w:t>
      </w:r>
      <w:r w:rsidR="005F21D3">
        <w:t xml:space="preserve">  </w:t>
      </w:r>
      <w:r w:rsidR="00FA3D39">
        <w:t xml:space="preserve"> </w:t>
      </w:r>
    </w:p>
    <w:p w:rsidR="00843920" w:rsidRPr="00843920" w:rsidRDefault="00843920">
      <w:r>
        <w:t>In this variety of stab-through reverse circulation, lead cement is pumped down the annulus and displaced up the drill pipe (</w:t>
      </w:r>
      <w:r>
        <w:fldChar w:fldCharType="begin"/>
      </w:r>
      <w:r>
        <w:instrText xml:space="preserve"> REF _Ref379879391 \h </w:instrText>
      </w:r>
      <w:r>
        <w:fldChar w:fldCharType="separate"/>
      </w:r>
      <w:r w:rsidR="003129FA">
        <w:t xml:space="preserve">Figure </w:t>
      </w:r>
      <w:r w:rsidR="003129FA">
        <w:rPr>
          <w:noProof/>
        </w:rPr>
        <w:t>10</w:t>
      </w:r>
      <w:r>
        <w:fldChar w:fldCharType="end"/>
      </w:r>
      <w:r>
        <w:t>).  When the lead cement is seen at the surface, tail cement is pumped down the drill pipe, displacing the lead cement at the shoe.  Mud or water is then pumped until only lead cement remains in the annulus and the shoe.</w:t>
      </w:r>
    </w:p>
    <w:p w:rsidR="00902FF0" w:rsidRDefault="00651102" w:rsidP="00FA3D39">
      <w:r w:rsidRPr="00651102">
        <w:rPr>
          <w:noProof/>
        </w:rPr>
        <w:lastRenderedPageBreak/>
        <w:drawing>
          <wp:inline distT="0" distB="0" distL="0" distR="0" wp14:anchorId="61C1B930" wp14:editId="5FEA5ED8">
            <wp:extent cx="5943600" cy="28474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847452"/>
                    </a:xfrm>
                    <a:prstGeom prst="rect">
                      <a:avLst/>
                    </a:prstGeom>
                    <a:noFill/>
                    <a:ln>
                      <a:noFill/>
                    </a:ln>
                  </pic:spPr>
                </pic:pic>
              </a:graphicData>
            </a:graphic>
          </wp:inline>
        </w:drawing>
      </w:r>
    </w:p>
    <w:p w:rsidR="00843920" w:rsidRDefault="00843920" w:rsidP="00AC662B">
      <w:pPr>
        <w:pStyle w:val="Caption"/>
      </w:pPr>
      <w:bookmarkStart w:id="14" w:name="_Ref379879391"/>
      <w:proofErr w:type="gramStart"/>
      <w:r>
        <w:t xml:space="preserve">Figure </w:t>
      </w:r>
      <w:r w:rsidR="00D14AFE">
        <w:fldChar w:fldCharType="begin"/>
      </w:r>
      <w:r w:rsidR="00D14AFE">
        <w:instrText xml:space="preserve"> SEQ Figure \* ARABIC </w:instrText>
      </w:r>
      <w:r w:rsidR="00D14AFE">
        <w:fldChar w:fldCharType="separate"/>
      </w:r>
      <w:r w:rsidR="003129FA">
        <w:rPr>
          <w:noProof/>
        </w:rPr>
        <w:t>10</w:t>
      </w:r>
      <w:r w:rsidR="00D14AFE">
        <w:rPr>
          <w:noProof/>
        </w:rPr>
        <w:fldChar w:fldCharType="end"/>
      </w:r>
      <w:bookmarkEnd w:id="14"/>
      <w:r>
        <w:t>.</w:t>
      </w:r>
      <w:proofErr w:type="gramEnd"/>
      <w:r>
        <w:t xml:space="preserve">  Stab-through lead to surface</w:t>
      </w:r>
    </w:p>
    <w:p w:rsidR="00B516E4" w:rsidRDefault="00B516E4" w:rsidP="00AC662B">
      <w:pPr>
        <w:pStyle w:val="Heading5"/>
      </w:pPr>
      <w:r>
        <w:t>Stab-Through Foamed Cement</w:t>
      </w:r>
    </w:p>
    <w:p w:rsidR="00B516E4" w:rsidRPr="00B516E4" w:rsidRDefault="00B516E4">
      <w:r>
        <w:t>When even lower annular pressure is required, lowering the density of the slurry is another option.  Mixing nitrogen with the slurry creates foamed cement which has adequate strength while lowering annular pressure.  The cementing process with foam is similar to the previously described process.  However, the variable density due to the compressibility of nitrogen creates challenges when determining the downhole pressures.</w:t>
      </w:r>
      <w:r w:rsidR="00AC662B">
        <w:t xml:space="preserve">  Foamed cement </w:t>
      </w:r>
      <w:r w:rsidR="006C6454">
        <w:t xml:space="preserve">can </w:t>
      </w:r>
      <w:r w:rsidR="00AC662B">
        <w:t xml:space="preserve">also </w:t>
      </w:r>
      <w:r w:rsidR="006C6454">
        <w:t xml:space="preserve">be </w:t>
      </w:r>
      <w:r w:rsidR="00AC662B">
        <w:t>used in the other techniques.</w:t>
      </w:r>
      <w:r>
        <w:t xml:space="preserve"> </w:t>
      </w:r>
    </w:p>
    <w:p w:rsidR="00902FF0" w:rsidRDefault="00BA7990" w:rsidP="00FA3D39">
      <w:r w:rsidRPr="00BA7990">
        <w:rPr>
          <w:noProof/>
        </w:rPr>
        <w:drawing>
          <wp:inline distT="0" distB="0" distL="0" distR="0" wp14:anchorId="16C13311" wp14:editId="0CD0C874">
            <wp:extent cx="5943600" cy="2739465"/>
            <wp:effectExtent l="0" t="0" r="0" b="381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739465"/>
                    </a:xfrm>
                    <a:prstGeom prst="rect">
                      <a:avLst/>
                    </a:prstGeom>
                    <a:noFill/>
                    <a:ln>
                      <a:noFill/>
                    </a:ln>
                  </pic:spPr>
                </pic:pic>
              </a:graphicData>
            </a:graphic>
          </wp:inline>
        </w:drawing>
      </w:r>
    </w:p>
    <w:p w:rsidR="00BA7990" w:rsidRDefault="00BA7990" w:rsidP="00AC662B">
      <w:pPr>
        <w:pStyle w:val="Caption"/>
      </w:pPr>
      <w:proofErr w:type="gramStart"/>
      <w:r>
        <w:t xml:space="preserve">Figure </w:t>
      </w:r>
      <w:r w:rsidR="00D14AFE">
        <w:fldChar w:fldCharType="begin"/>
      </w:r>
      <w:r w:rsidR="00D14AFE">
        <w:instrText xml:space="preserve"> SEQ Figure \* ARABIC </w:instrText>
      </w:r>
      <w:r w:rsidR="00D14AFE">
        <w:fldChar w:fldCharType="separate"/>
      </w:r>
      <w:r w:rsidR="003129FA">
        <w:rPr>
          <w:noProof/>
        </w:rPr>
        <w:t>11</w:t>
      </w:r>
      <w:r w:rsidR="00D14AFE">
        <w:rPr>
          <w:noProof/>
        </w:rPr>
        <w:fldChar w:fldCharType="end"/>
      </w:r>
      <w:r>
        <w:t>.</w:t>
      </w:r>
      <w:proofErr w:type="gramEnd"/>
      <w:r>
        <w:t xml:space="preserve">  Stab</w:t>
      </w:r>
      <w:r w:rsidR="00D36B34">
        <w:t xml:space="preserve"> </w:t>
      </w:r>
      <w:r>
        <w:t>through foamed to surface</w:t>
      </w:r>
    </w:p>
    <w:p w:rsidR="007E33F6" w:rsidDel="00A13B2C" w:rsidRDefault="007E33F6" w:rsidP="007E33F6">
      <w:pPr>
        <w:pStyle w:val="Caption"/>
      </w:pPr>
      <w:bookmarkStart w:id="15" w:name="_Ref379879591"/>
      <w:proofErr w:type="gramStart"/>
      <w:r>
        <w:t xml:space="preserve">Table </w:t>
      </w:r>
      <w:r w:rsidR="00D14AFE">
        <w:fldChar w:fldCharType="begin"/>
      </w:r>
      <w:r w:rsidR="00D14AFE">
        <w:instrText xml:space="preserve"> SEQ Table \* ARABIC </w:instrText>
      </w:r>
      <w:r w:rsidR="00D14AFE">
        <w:fldChar w:fldCharType="separate"/>
      </w:r>
      <w:r w:rsidR="003129FA">
        <w:rPr>
          <w:noProof/>
        </w:rPr>
        <w:t>5</w:t>
      </w:r>
      <w:r w:rsidR="00D14AFE">
        <w:rPr>
          <w:noProof/>
        </w:rPr>
        <w:fldChar w:fldCharType="end"/>
      </w:r>
      <w:bookmarkEnd w:id="15"/>
      <w:r>
        <w:t>.</w:t>
      </w:r>
      <w:proofErr w:type="gramEnd"/>
      <w:r>
        <w:t xml:space="preserve">  Reverse circulation techniques summary </w:t>
      </w:r>
      <w:r w:rsidR="00A447F2">
        <w:fldChar w:fldCharType="begin"/>
      </w:r>
      <w:r w:rsidR="00817F40">
        <w:instrText xml:space="preserve"> ADDIN EN.CITE &lt;EndNote&gt;&lt;Cite ExcludeYear="1"&gt;&lt;Author&gt;Rickard&lt;/Author&gt;&lt;Year&gt;2011&lt;/Year&gt;&lt;RecNum&gt;1&lt;/RecNum&gt;&lt;DisplayText&gt;[15]&lt;/DisplayText&gt;&lt;record&gt;&lt;rec-number&gt;1&lt;/rec-number&gt;&lt;foreign-keys&gt;&lt;key app="EN" db-id="are2p99v9wzvwoepps1vpawedtxvf52zwv9s"&gt;1&lt;/key&gt;&lt;/foreign-keys&gt;&lt;ref-type name="Journal Article"&gt;17&lt;/ref-type&gt;&lt;contributors&gt;&lt;authors&gt;&lt;author&gt;Bill Rickard&lt;/author&gt;&lt;author&gt;Abraham S. Samuel&lt;/author&gt;&lt;author&gt;Benedicto Alarcon&lt;/author&gt;&lt;author&gt;Alan Bailey&lt;/author&gt;&lt;author&gt;Wendell Howard&lt;/author&gt;&lt;/authors&gt;&lt;/contributors&gt;&lt;titles&gt;&lt;title&gt;Reverse Circulation Cementing of Geothermal Wells: A Comparison of Methods&lt;/title&gt;&lt;secondary-title&gt;GRC Transactions&lt;/secondary-title&gt;&lt;/titles&gt;&lt;pages&gt;225-228&lt;/pages&gt;&lt;volume&gt;35&lt;/volume&gt;&lt;dates&gt;&lt;year&gt;2011&lt;/year&gt;&lt;/dates&gt;&lt;urls&gt;&lt;/urls&gt;&lt;/record&gt;&lt;/Cite&gt;&lt;/EndNote&gt;</w:instrText>
      </w:r>
      <w:r w:rsidR="00A447F2">
        <w:fldChar w:fldCharType="separate"/>
      </w:r>
      <w:r w:rsidR="00817F40">
        <w:rPr>
          <w:noProof/>
        </w:rPr>
        <w:t>[</w:t>
      </w:r>
      <w:hyperlink w:anchor="_ENREF_15" w:tooltip="Rickard, 2011 #1" w:history="1">
        <w:r w:rsidR="00817F40">
          <w:rPr>
            <w:noProof/>
          </w:rPr>
          <w:t>15</w:t>
        </w:r>
      </w:hyperlink>
      <w:r w:rsidR="00817F40">
        <w:rPr>
          <w:noProof/>
        </w:rPr>
        <w:t>]</w:t>
      </w:r>
      <w:r w:rsidR="00A447F2">
        <w:fldChar w:fldCharType="end"/>
      </w:r>
    </w:p>
    <w:tbl>
      <w:tblPr>
        <w:tblStyle w:val="LightList-Accent1"/>
        <w:tblW w:w="0" w:type="auto"/>
        <w:tblLook w:val="04A0" w:firstRow="1" w:lastRow="0" w:firstColumn="1" w:lastColumn="0" w:noHBand="0" w:noVBand="1"/>
      </w:tblPr>
      <w:tblGrid>
        <w:gridCol w:w="2448"/>
        <w:gridCol w:w="3780"/>
        <w:gridCol w:w="3348"/>
      </w:tblGrid>
      <w:tr w:rsidR="007E33F6" w:rsidTr="006C6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7E33F6" w:rsidRDefault="007E33F6" w:rsidP="00B326DC">
            <w:r>
              <w:t>Method</w:t>
            </w:r>
          </w:p>
        </w:tc>
        <w:tc>
          <w:tcPr>
            <w:tcW w:w="3780" w:type="dxa"/>
          </w:tcPr>
          <w:p w:rsidR="007E33F6" w:rsidRDefault="007E33F6" w:rsidP="00B326DC">
            <w:pPr>
              <w:cnfStyle w:val="100000000000" w:firstRow="1" w:lastRow="0" w:firstColumn="0" w:lastColumn="0" w:oddVBand="0" w:evenVBand="0" w:oddHBand="0" w:evenHBand="0" w:firstRowFirstColumn="0" w:firstRowLastColumn="0" w:lastRowFirstColumn="0" w:lastRowLastColumn="0"/>
            </w:pPr>
            <w:r>
              <w:t>Advantages</w:t>
            </w:r>
          </w:p>
        </w:tc>
        <w:tc>
          <w:tcPr>
            <w:tcW w:w="3348" w:type="dxa"/>
          </w:tcPr>
          <w:p w:rsidR="007E33F6" w:rsidRDefault="007E33F6" w:rsidP="00B326DC">
            <w:pPr>
              <w:cnfStyle w:val="100000000000" w:firstRow="1" w:lastRow="0" w:firstColumn="0" w:lastColumn="0" w:oddVBand="0" w:evenVBand="0" w:oddHBand="0" w:evenHBand="0" w:firstRowFirstColumn="0" w:firstRowLastColumn="0" w:lastRowFirstColumn="0" w:lastRowLastColumn="0"/>
            </w:pPr>
            <w:r>
              <w:t>Disadvantages</w:t>
            </w:r>
          </w:p>
        </w:tc>
      </w:tr>
      <w:tr w:rsidR="007E33F6" w:rsidTr="006C6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7E33F6" w:rsidRDefault="007E33F6" w:rsidP="00B326DC">
            <w:r>
              <w:lastRenderedPageBreak/>
              <w:t xml:space="preserve">Conventional </w:t>
            </w:r>
          </w:p>
        </w:tc>
        <w:tc>
          <w:tcPr>
            <w:tcW w:w="3780" w:type="dxa"/>
          </w:tcPr>
          <w:p w:rsidR="007E33F6" w:rsidRDefault="007E33F6" w:rsidP="00B326DC">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No need to run stab-in drill pipe in casing</w:t>
            </w:r>
          </w:p>
          <w:p w:rsidR="007E33F6" w:rsidRDefault="007E33F6" w:rsidP="00B326DC">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Highest pressure in annulus after pumping</w:t>
            </w:r>
          </w:p>
          <w:p w:rsidR="007E33F6" w:rsidRDefault="007E33F6" w:rsidP="00B326DC">
            <w:pPr>
              <w:cnfStyle w:val="000000100000" w:firstRow="0" w:lastRow="0" w:firstColumn="0" w:lastColumn="0" w:oddVBand="0" w:evenVBand="0" w:oddHBand="1" w:evenHBand="0" w:firstRowFirstColumn="0" w:firstRowLastColumn="0" w:lastRowFirstColumn="0" w:lastRowLastColumn="0"/>
            </w:pPr>
          </w:p>
        </w:tc>
        <w:tc>
          <w:tcPr>
            <w:tcW w:w="3348" w:type="dxa"/>
          </w:tcPr>
          <w:p w:rsidR="007E33F6" w:rsidRDefault="007E33F6" w:rsidP="00B326DC">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Tracer reliability</w:t>
            </w:r>
          </w:p>
          <w:p w:rsidR="007E33F6" w:rsidRDefault="007E33F6" w:rsidP="00B326DC">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 xml:space="preserve">Several hundred feet of cement </w:t>
            </w:r>
            <w:r w:rsidR="00AF64A7">
              <w:t xml:space="preserve">to </w:t>
            </w:r>
            <w:r>
              <w:t xml:space="preserve">drill </w:t>
            </w:r>
            <w:r w:rsidR="00AF64A7">
              <w:t>out</w:t>
            </w:r>
          </w:p>
          <w:p w:rsidR="007E33F6" w:rsidRDefault="007E33F6" w:rsidP="00B326DC">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Casing shut in with differential hydrostatic pressure at surface</w:t>
            </w:r>
          </w:p>
        </w:tc>
      </w:tr>
      <w:tr w:rsidR="007E33F6" w:rsidTr="006C6454">
        <w:tc>
          <w:tcPr>
            <w:cnfStyle w:val="001000000000" w:firstRow="0" w:lastRow="0" w:firstColumn="1" w:lastColumn="0" w:oddVBand="0" w:evenVBand="0" w:oddHBand="0" w:evenHBand="0" w:firstRowFirstColumn="0" w:firstRowLastColumn="0" w:lastRowFirstColumn="0" w:lastRowLastColumn="0"/>
            <w:tcW w:w="2448" w:type="dxa"/>
          </w:tcPr>
          <w:p w:rsidR="007E33F6" w:rsidRDefault="007E33F6" w:rsidP="00B326DC">
            <w:r>
              <w:t>Stab-through marker to surface</w:t>
            </w:r>
          </w:p>
        </w:tc>
        <w:tc>
          <w:tcPr>
            <w:tcW w:w="3780" w:type="dxa"/>
          </w:tcPr>
          <w:p w:rsidR="007E33F6" w:rsidRDefault="007E33F6" w:rsidP="00B326D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Cement displacement confirmed with returns to surface</w:t>
            </w:r>
          </w:p>
          <w:p w:rsidR="007E33F6" w:rsidRDefault="007E33F6" w:rsidP="00B326D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Minimize micro annulus by controlling hydrostatic differential downhole</w:t>
            </w:r>
          </w:p>
        </w:tc>
        <w:tc>
          <w:tcPr>
            <w:tcW w:w="3348" w:type="dxa"/>
          </w:tcPr>
          <w:p w:rsidR="007E33F6" w:rsidRDefault="007E33F6" w:rsidP="00B326D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Increased friction from circulating through drill pipe, more pressure in annulus</w:t>
            </w:r>
          </w:p>
        </w:tc>
      </w:tr>
      <w:tr w:rsidR="007E33F6" w:rsidTr="006C6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7E33F6" w:rsidRDefault="007E33F6" w:rsidP="00B326DC">
            <w:r>
              <w:t>Stab-through lead to surface</w:t>
            </w:r>
          </w:p>
        </w:tc>
        <w:tc>
          <w:tcPr>
            <w:tcW w:w="3780" w:type="dxa"/>
          </w:tcPr>
          <w:p w:rsidR="007E33F6" w:rsidRDefault="007E33F6" w:rsidP="00B326DC">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Confirmation of complete fill with returns to surface</w:t>
            </w:r>
          </w:p>
          <w:p w:rsidR="007E33F6" w:rsidRDefault="007E33F6" w:rsidP="00B326DC">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Precise tail slurry positioning around shoe</w:t>
            </w:r>
          </w:p>
          <w:p w:rsidR="007E33F6" w:rsidRDefault="007E33F6" w:rsidP="00B326DC">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Less cement to drill out of casing</w:t>
            </w:r>
          </w:p>
          <w:p w:rsidR="007E33F6" w:rsidRDefault="007E33F6" w:rsidP="00B326DC">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Decrease in hydrostatic pressure on annulus</w:t>
            </w:r>
          </w:p>
        </w:tc>
        <w:tc>
          <w:tcPr>
            <w:tcW w:w="3348" w:type="dxa"/>
          </w:tcPr>
          <w:p w:rsidR="007E33F6" w:rsidRDefault="007E33F6" w:rsidP="00B326DC">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Higher ECD than other reverse circulation techniques</w:t>
            </w:r>
          </w:p>
          <w:p w:rsidR="007E33F6" w:rsidRDefault="007E33F6" w:rsidP="00B326DC">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Additional rig-up time to pump tail cement</w:t>
            </w:r>
          </w:p>
        </w:tc>
      </w:tr>
      <w:tr w:rsidR="007E33F6" w:rsidTr="006C6454">
        <w:tc>
          <w:tcPr>
            <w:cnfStyle w:val="001000000000" w:firstRow="0" w:lastRow="0" w:firstColumn="1" w:lastColumn="0" w:oddVBand="0" w:evenVBand="0" w:oddHBand="0" w:evenHBand="0" w:firstRowFirstColumn="0" w:firstRowLastColumn="0" w:lastRowFirstColumn="0" w:lastRowLastColumn="0"/>
            <w:tcW w:w="2448" w:type="dxa"/>
          </w:tcPr>
          <w:p w:rsidR="007E33F6" w:rsidRDefault="007E33F6" w:rsidP="00B326DC">
            <w:r>
              <w:t>Stab-through foamed cement</w:t>
            </w:r>
          </w:p>
        </w:tc>
        <w:tc>
          <w:tcPr>
            <w:tcW w:w="3780" w:type="dxa"/>
          </w:tcPr>
          <w:p w:rsidR="007E33F6" w:rsidRDefault="007E33F6" w:rsidP="00B326D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Lower hydrostatic pressure</w:t>
            </w:r>
          </w:p>
          <w:p w:rsidR="007E33F6" w:rsidRDefault="007E33F6" w:rsidP="00B326D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Positive verification when annulus is filled</w:t>
            </w:r>
          </w:p>
          <w:p w:rsidR="007E33F6" w:rsidRDefault="007E33F6" w:rsidP="00B326D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Precision placement of tail slurry around shoe</w:t>
            </w:r>
          </w:p>
        </w:tc>
        <w:tc>
          <w:tcPr>
            <w:tcW w:w="3348" w:type="dxa"/>
          </w:tcPr>
          <w:p w:rsidR="007E33F6" w:rsidRDefault="007E33F6" w:rsidP="00B326D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Higher ECD than other reverse circulation techniques</w:t>
            </w:r>
            <w:r w:rsidR="00651102">
              <w:t xml:space="preserve"> due to friction in drill pipe when circulating to surface</w:t>
            </w:r>
          </w:p>
          <w:p w:rsidR="007E33F6" w:rsidRDefault="007E33F6" w:rsidP="00B326D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Additional rig-up time to pump tail cement</w:t>
            </w:r>
          </w:p>
          <w:p w:rsidR="007E33F6" w:rsidRDefault="007E33F6" w:rsidP="00AF64A7">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 xml:space="preserve">Use of </w:t>
            </w:r>
            <w:r w:rsidR="00AF64A7">
              <w:t xml:space="preserve">nitrogen </w:t>
            </w:r>
            <w:r>
              <w:t>increases complexity of setup</w:t>
            </w:r>
          </w:p>
        </w:tc>
      </w:tr>
    </w:tbl>
    <w:p w:rsidR="00B116A2" w:rsidRDefault="003B375D" w:rsidP="003B375D">
      <w:pPr>
        <w:pStyle w:val="Heading1"/>
      </w:pPr>
      <w:r>
        <w:t>Centralizers</w:t>
      </w:r>
    </w:p>
    <w:p w:rsidR="00A27397" w:rsidRDefault="001F3010" w:rsidP="00A27397">
      <w:r>
        <w:t xml:space="preserve">A centralizer is a piece of hardware fitted </w:t>
      </w:r>
      <w:r w:rsidR="00F90CFD">
        <w:t xml:space="preserve">onto casing </w:t>
      </w:r>
      <w:r w:rsidR="00AF64A7">
        <w:t xml:space="preserve">or </w:t>
      </w:r>
      <w:r w:rsidR="00F90CFD">
        <w:t xml:space="preserve">liner to keep it </w:t>
      </w:r>
      <w:r w:rsidR="00AF64A7">
        <w:t xml:space="preserve">centered in the </w:t>
      </w:r>
      <w:r w:rsidR="00F90CFD">
        <w:t xml:space="preserve">borehole during cementing operations.  </w:t>
      </w:r>
      <w:r w:rsidR="00A27397">
        <w:t xml:space="preserve">The quality of a cement job is largely dependent upon the centralization between casing and the wellbore.  A centralized casing allows cement to flow uniformly in the annulus as well as enabling adequate mud removal.  The key </w:t>
      </w:r>
      <w:r w:rsidR="007C3D7A">
        <w:t xml:space="preserve">to that </w:t>
      </w:r>
      <w:r w:rsidR="00A27397">
        <w:t xml:space="preserve">is </w:t>
      </w:r>
      <w:r w:rsidR="007C3D7A">
        <w:t>removing</w:t>
      </w:r>
      <w:r w:rsidR="00A27397">
        <w:t xml:space="preserve"> mud in the annulus between the</w:t>
      </w:r>
      <w:r w:rsidR="007C3D7A">
        <w:t xml:space="preserve"> casing and borehole and replacing</w:t>
      </w:r>
      <w:r w:rsidR="00A27397">
        <w:t xml:space="preserve"> it with cement.  Due to </w:t>
      </w:r>
      <w:r w:rsidR="00AF64A7">
        <w:t xml:space="preserve">differences </w:t>
      </w:r>
      <w:r w:rsidR="00A27397">
        <w:t xml:space="preserve">in properties between the mud and cement, there is a tendency for cement to leave behind mud channels </w:t>
      </w:r>
      <w:r w:rsidR="00C74715">
        <w:fldChar w:fldCharType="begin"/>
      </w:r>
      <w:r w:rsidR="00DE71EA">
        <w:instrText xml:space="preserve"> ADDIN EN.CITE &lt;EndNote&gt;&lt;Cite&gt;&lt;Author&gt;Kinzel&lt;/Author&gt;&lt;Year&gt;1998&lt;/Year&gt;&lt;RecNum&gt;424&lt;/RecNum&gt;&lt;DisplayText&gt;[4]&lt;/DisplayText&gt;&lt;record&gt;&lt;rec-number&gt;424&lt;/rec-number&gt;&lt;foreign-keys&gt;&lt;key app="EN" db-id="rwzxp2sses9f5deexw8xe0tjf5f2wep0epv9"&gt;424&lt;/key&gt;&lt;/foreign-keys&gt;&lt;ref-type name="Conference Paper"&gt;47&lt;/ref-type&gt;&lt;contributors&gt;&lt;authors&gt;&lt;author&gt;Kinzel, Holger&lt;/author&gt;&lt;author&gt;Martens, James G.&lt;/author&gt;&lt;/authors&gt;&lt;/contributors&gt;&lt;titles&gt;&lt;title&gt;The Application of New Centralizer Types to Improve Zone Isolation in Horizontal Wells&lt;/title&gt;&lt;secondary-title&gt;SPE International Oil and Gas Conference and Exhibition in China,&lt;/secondary-title&gt;&lt;/titles&gt;&lt;number&gt;SPE-50438-MS&lt;/number&gt;&lt;dates&gt;&lt;year&gt;1998&lt;/year&gt;&lt;/dates&gt;&lt;pub-location&gt;Beijing, China&lt;/pub-location&gt;&lt;publisher&gt;Society of Petroleum Engineers&lt;/publisher&gt;&lt;urls&gt;&lt;/urls&gt;&lt;electronic-resource-num&gt;http://dx.doi.org/10.2118/50438-MS&lt;/electronic-resource-num&gt;&lt;/record&gt;&lt;/Cite&gt;&lt;/EndNote&gt;</w:instrText>
      </w:r>
      <w:r w:rsidR="00C74715">
        <w:fldChar w:fldCharType="separate"/>
      </w:r>
      <w:r w:rsidR="00DE71EA">
        <w:rPr>
          <w:noProof/>
        </w:rPr>
        <w:t>[</w:t>
      </w:r>
      <w:hyperlink w:anchor="_ENREF_4" w:tooltip="Kinzel, 1998 #424" w:history="1">
        <w:r w:rsidR="00817F40">
          <w:rPr>
            <w:noProof/>
          </w:rPr>
          <w:t>4</w:t>
        </w:r>
      </w:hyperlink>
      <w:r w:rsidR="00DE71EA">
        <w:rPr>
          <w:noProof/>
        </w:rPr>
        <w:t>]</w:t>
      </w:r>
      <w:r w:rsidR="00C74715">
        <w:fldChar w:fldCharType="end"/>
      </w:r>
      <w:r w:rsidR="00A27397">
        <w:t>.  The standoff provided by centralizers is one of the most important factors in preventing the mud pockets (</w:t>
      </w:r>
      <w:r w:rsidR="00A27397">
        <w:fldChar w:fldCharType="begin"/>
      </w:r>
      <w:r w:rsidR="00A27397">
        <w:instrText xml:space="preserve"> REF _Ref378601910 \h </w:instrText>
      </w:r>
      <w:r w:rsidR="00A27397">
        <w:fldChar w:fldCharType="separate"/>
      </w:r>
      <w:r w:rsidR="003129FA">
        <w:t xml:space="preserve">Figure </w:t>
      </w:r>
      <w:r w:rsidR="003129FA">
        <w:rPr>
          <w:noProof/>
        </w:rPr>
        <w:t>12</w:t>
      </w:r>
      <w:r w:rsidR="00A27397">
        <w:fldChar w:fldCharType="end"/>
      </w:r>
      <w:r w:rsidR="00A27397">
        <w:t xml:space="preserve">).  </w:t>
      </w:r>
    </w:p>
    <w:p w:rsidR="00A27397" w:rsidRDefault="00A27397" w:rsidP="00A27397">
      <w:r w:rsidRPr="00494EB5">
        <w:rPr>
          <w:noProof/>
        </w:rPr>
        <w:lastRenderedPageBreak/>
        <w:drawing>
          <wp:inline distT="0" distB="0" distL="0" distR="0" wp14:anchorId="4EEBEE68" wp14:editId="4C25E266">
            <wp:extent cx="4572000" cy="2567589"/>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4525" cy="2569007"/>
                    </a:xfrm>
                    <a:prstGeom prst="rect">
                      <a:avLst/>
                    </a:prstGeom>
                    <a:noFill/>
                    <a:ln>
                      <a:noFill/>
                    </a:ln>
                  </pic:spPr>
                </pic:pic>
              </a:graphicData>
            </a:graphic>
          </wp:inline>
        </w:drawing>
      </w:r>
    </w:p>
    <w:p w:rsidR="00A27397" w:rsidRDefault="00A27397" w:rsidP="00A27397">
      <w:pPr>
        <w:pStyle w:val="Caption"/>
        <w:rPr>
          <w:noProof/>
        </w:rPr>
      </w:pPr>
      <w:bookmarkStart w:id="16" w:name="_Ref378601910"/>
      <w:proofErr w:type="gramStart"/>
      <w:r>
        <w:t xml:space="preserve">Figure </w:t>
      </w:r>
      <w:r w:rsidR="00D14AFE">
        <w:fldChar w:fldCharType="begin"/>
      </w:r>
      <w:r w:rsidR="00D14AFE">
        <w:instrText xml:space="preserve"> SEQ Figure \* ARABIC </w:instrText>
      </w:r>
      <w:r w:rsidR="00D14AFE">
        <w:fldChar w:fldCharType="separate"/>
      </w:r>
      <w:r w:rsidR="003129FA">
        <w:rPr>
          <w:noProof/>
        </w:rPr>
        <w:t>12</w:t>
      </w:r>
      <w:r w:rsidR="00D14AFE">
        <w:rPr>
          <w:noProof/>
        </w:rPr>
        <w:fldChar w:fldCharType="end"/>
      </w:r>
      <w:bookmarkEnd w:id="16"/>
      <w:r>
        <w:rPr>
          <w:noProof/>
        </w:rPr>
        <w:t>.</w:t>
      </w:r>
      <w:proofErr w:type="gramEnd"/>
      <w:r>
        <w:rPr>
          <w:noProof/>
        </w:rPr>
        <w:t xml:space="preserve">  Illustration of effect of poor standoff on cement</w:t>
      </w:r>
    </w:p>
    <w:p w:rsidR="007C3D7A" w:rsidRPr="007C3D7A" w:rsidRDefault="007C3D7A" w:rsidP="007C3D7A">
      <w:r>
        <w:t>Introducing additional motion while running casing is another technique used to improve mud removal.  Reciprocation, rotation, and the combination of both are often used to aid casing downhole.  Centralizers can act as rotational bearings to help pipe rotation.</w:t>
      </w:r>
    </w:p>
    <w:p w:rsidR="00D93BD9" w:rsidRDefault="00D93BD9" w:rsidP="00D93BD9">
      <w:r>
        <w:t xml:space="preserve">In </w:t>
      </w:r>
      <w:r w:rsidR="00651102">
        <w:t>open-hole sections</w:t>
      </w:r>
      <w:r>
        <w:t xml:space="preserve">, centralizers play an important role in preventing differential sticking.  </w:t>
      </w:r>
      <w:r w:rsidR="00A9017D">
        <w:fldChar w:fldCharType="begin"/>
      </w:r>
      <w:r w:rsidR="00A9017D">
        <w:instrText xml:space="preserve"> REF _Ref378605888 \h </w:instrText>
      </w:r>
      <w:r w:rsidR="00A9017D">
        <w:fldChar w:fldCharType="separate"/>
      </w:r>
      <w:r w:rsidR="003129FA">
        <w:t xml:space="preserve">Figure </w:t>
      </w:r>
      <w:r w:rsidR="003129FA">
        <w:rPr>
          <w:noProof/>
        </w:rPr>
        <w:t>13</w:t>
      </w:r>
      <w:r w:rsidR="00A9017D">
        <w:fldChar w:fldCharType="end"/>
      </w:r>
      <w:r w:rsidR="00A9017D">
        <w:t xml:space="preserve"> </w:t>
      </w:r>
      <w:r>
        <w:t xml:space="preserve">illustrates how centralized casing can help to eliminate differential sticking.  For centralized casing, the pressure exerted on the casing by the drilling mud is uniformly applied.  This means there is no net force beyond gravity acting on the casing.  If the casing is allowed to settle into the mud cake, the contact area between the mud cake and casing can approach 1/4 of the total surface area of the pipe </w:t>
      </w:r>
      <w:r>
        <w:fldChar w:fldCharType="begin"/>
      </w:r>
      <w:r w:rsidR="00DE71EA">
        <w:instrText xml:space="preserve"> ADDIN EN.CITE &lt;EndNote&gt;&lt;Cite&gt;&lt;Author&gt;Kinzel&lt;/Author&gt;&lt;Year&gt;1998&lt;/Year&gt;&lt;RecNum&gt;424&lt;/RecNum&gt;&lt;DisplayText&gt;[4]&lt;/DisplayText&gt;&lt;record&gt;&lt;rec-number&gt;424&lt;/rec-number&gt;&lt;foreign-keys&gt;&lt;key app="EN" db-id="rwzxp2sses9f5deexw8xe0tjf5f2wep0epv9"&gt;424&lt;/key&gt;&lt;/foreign-keys&gt;&lt;ref-type name="Conference Paper"&gt;47&lt;/ref-type&gt;&lt;contributors&gt;&lt;authors&gt;&lt;author&gt;Kinzel, Holger&lt;/author&gt;&lt;author&gt;Martens, James G.&lt;/author&gt;&lt;/authors&gt;&lt;/contributors&gt;&lt;titles&gt;&lt;title&gt;The Application of New Centralizer Types to Improve Zone Isolation in Horizontal Wells&lt;/title&gt;&lt;secondary-title&gt;SPE International Oil and Gas Conference and Exhibition in China,&lt;/secondary-title&gt;&lt;/titles&gt;&lt;number&gt;SPE-50438-MS&lt;/number&gt;&lt;dates&gt;&lt;year&gt;1998&lt;/year&gt;&lt;/dates&gt;&lt;pub-location&gt;Beijing, China&lt;/pub-location&gt;&lt;publisher&gt;Society of Petroleum Engineers&lt;/publisher&gt;&lt;urls&gt;&lt;/urls&gt;&lt;electronic-resource-num&gt;http://dx.doi.org/10.2118/50438-MS&lt;/electronic-resource-num&gt;&lt;/record&gt;&lt;/Cite&gt;&lt;/EndNote&gt;</w:instrText>
      </w:r>
      <w:r>
        <w:fldChar w:fldCharType="separate"/>
      </w:r>
      <w:r w:rsidR="00DE71EA">
        <w:rPr>
          <w:noProof/>
        </w:rPr>
        <w:t>[</w:t>
      </w:r>
      <w:hyperlink w:anchor="_ENREF_4" w:tooltip="Kinzel, 1998 #424" w:history="1">
        <w:r w:rsidR="00817F40">
          <w:rPr>
            <w:noProof/>
          </w:rPr>
          <w:t>4</w:t>
        </w:r>
      </w:hyperlink>
      <w:r w:rsidR="00DE71EA">
        <w:rPr>
          <w:noProof/>
        </w:rPr>
        <w:t>]</w:t>
      </w:r>
      <w:r>
        <w:fldChar w:fldCharType="end"/>
      </w:r>
      <w:r>
        <w:t xml:space="preserve">.  This differential area results in a net </w:t>
      </w:r>
      <w:r w:rsidR="00753A03">
        <w:t xml:space="preserve">side </w:t>
      </w:r>
      <w:r>
        <w:t xml:space="preserve">force driving the casing into the mud cake.  </w:t>
      </w:r>
      <w:r w:rsidR="00753A03">
        <w:t xml:space="preserve">If this side force exceeds the force available to run the casing, then the pipe becomes stuck.  </w:t>
      </w:r>
      <w:r>
        <w:t>Although there is additional running force when centralizers are used, their use can prevent stuck pipe scenarios.</w:t>
      </w:r>
    </w:p>
    <w:p w:rsidR="00D93BD9" w:rsidRDefault="00D93BD9" w:rsidP="00D93BD9">
      <w:r w:rsidRPr="00B6422F">
        <w:rPr>
          <w:noProof/>
        </w:rPr>
        <w:drawing>
          <wp:inline distT="0" distB="0" distL="0" distR="0" wp14:anchorId="7C03B036" wp14:editId="348C0D71">
            <wp:extent cx="4572000" cy="2567589"/>
            <wp:effectExtent l="0" t="0" r="0" b="444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2567589"/>
                    </a:xfrm>
                    <a:prstGeom prst="rect">
                      <a:avLst/>
                    </a:prstGeom>
                    <a:noFill/>
                    <a:ln>
                      <a:noFill/>
                    </a:ln>
                  </pic:spPr>
                </pic:pic>
              </a:graphicData>
            </a:graphic>
          </wp:inline>
        </w:drawing>
      </w:r>
    </w:p>
    <w:p w:rsidR="00D93BD9" w:rsidRDefault="00D93BD9" w:rsidP="00A43671">
      <w:pPr>
        <w:pStyle w:val="Caption"/>
      </w:pPr>
      <w:bookmarkStart w:id="17" w:name="_Ref378605888"/>
      <w:proofErr w:type="gramStart"/>
      <w:r>
        <w:lastRenderedPageBreak/>
        <w:t xml:space="preserve">Figure </w:t>
      </w:r>
      <w:r w:rsidR="00D14AFE">
        <w:fldChar w:fldCharType="begin"/>
      </w:r>
      <w:r w:rsidR="00D14AFE">
        <w:instrText xml:space="preserve"> SEQ Figure \* ARABIC </w:instrText>
      </w:r>
      <w:r w:rsidR="00D14AFE">
        <w:fldChar w:fldCharType="separate"/>
      </w:r>
      <w:r w:rsidR="003129FA">
        <w:rPr>
          <w:noProof/>
        </w:rPr>
        <w:t>13</w:t>
      </w:r>
      <w:r w:rsidR="00D14AFE">
        <w:rPr>
          <w:noProof/>
        </w:rPr>
        <w:fldChar w:fldCharType="end"/>
      </w:r>
      <w:bookmarkEnd w:id="17"/>
      <w:r>
        <w:t>.</w:t>
      </w:r>
      <w:proofErr w:type="gramEnd"/>
      <w:r>
        <w:t xml:space="preserve">  Differential sticking illustration</w:t>
      </w:r>
    </w:p>
    <w:p w:rsidR="0034661F" w:rsidRDefault="00F90CFD" w:rsidP="00F90CFD">
      <w:r>
        <w:t xml:space="preserve">Although centralizers </w:t>
      </w:r>
      <w:r w:rsidR="0034661F">
        <w:t xml:space="preserve">are typically anonymous </w:t>
      </w:r>
      <w:r w:rsidR="006C049F">
        <w:t xml:space="preserve">hardware, they </w:t>
      </w:r>
      <w:r>
        <w:t xml:space="preserve">made headlines in the Deepwater Horizon </w:t>
      </w:r>
      <w:r w:rsidR="006C049F">
        <w:t xml:space="preserve">incident.  </w:t>
      </w:r>
      <w:r>
        <w:t xml:space="preserve">The number of centralizers used in the well was </w:t>
      </w:r>
      <w:r w:rsidR="006C049F">
        <w:t>the</w:t>
      </w:r>
      <w:r>
        <w:t xml:space="preserve"> subject of scrutiny during</w:t>
      </w:r>
      <w:r w:rsidR="006C049F">
        <w:t xml:space="preserve"> the investigation.  The original well plan called for 21 centralizers to be used for the completion.  However, </w:t>
      </w:r>
      <w:r w:rsidR="0034661F">
        <w:t>various underlying conditions resulted in only using six centralizers and a nitrogen foam cement program.  According to an incident report “</w:t>
      </w:r>
      <w:r w:rsidR="007D199E">
        <w:t>t</w:t>
      </w:r>
      <w:r w:rsidR="0034661F" w:rsidRPr="00F36447">
        <w:t xml:space="preserve">he resulting cement program was of minimal quantity, left little margin for error, and was not tested adequately before or after the cementing operation. Further, the integrity of the cement may have been compromised by contamination, instability, and an inadequate number of devices used to center the casing in the wellbore.” </w:t>
      </w:r>
      <w:r w:rsidR="0034661F">
        <w:fldChar w:fldCharType="begin"/>
      </w:r>
      <w:r w:rsidR="00817F40">
        <w:instrText xml:space="preserve"> ADDIN EN.CITE &lt;EndNote&gt;&lt;Cite&gt;&lt;Author&gt;Transocean&lt;/Author&gt;&lt;Year&gt;2011&lt;/Year&gt;&lt;RecNum&gt;444&lt;/RecNum&gt;&lt;DisplayText&gt;[16]&lt;/DisplayText&gt;&lt;record&gt;&lt;rec-number&gt;444&lt;/rec-number&gt;&lt;foreign-keys&gt;&lt;key app="EN" db-id="rwzxp2sses9f5deexw8xe0tjf5f2wep0epv9"&gt;444&lt;/key&gt;&lt;/foreign-keys&gt;&lt;ref-type name="Report"&gt;27&lt;/ref-type&gt;&lt;contributors&gt;&lt;authors&gt;&lt;author&gt;Transocean&lt;/author&gt;&lt;/authors&gt;&lt;/contributors&gt;&lt;titles&gt;&lt;title&gt;Macondo Well Incident: Transocean Investigation Report Volume 1&lt;/title&gt;&lt;/titles&gt;&lt;volume&gt;I&lt;/volume&gt;&lt;dates&gt;&lt;year&gt;2011&lt;/year&gt;&lt;/dates&gt;&lt;urls&gt;&lt;/urls&gt;&lt;/record&gt;&lt;/Cite&gt;&lt;/EndNote&gt;</w:instrText>
      </w:r>
      <w:r w:rsidR="0034661F">
        <w:fldChar w:fldCharType="separate"/>
      </w:r>
      <w:r w:rsidR="00817F40">
        <w:rPr>
          <w:noProof/>
        </w:rPr>
        <w:t>[</w:t>
      </w:r>
      <w:hyperlink w:anchor="_ENREF_16" w:tooltip="Transocean, 2011 #444" w:history="1">
        <w:r w:rsidR="00817F40">
          <w:rPr>
            <w:noProof/>
          </w:rPr>
          <w:t>16</w:t>
        </w:r>
      </w:hyperlink>
      <w:r w:rsidR="00817F40">
        <w:rPr>
          <w:noProof/>
        </w:rPr>
        <w:t>]</w:t>
      </w:r>
      <w:r w:rsidR="0034661F">
        <w:fldChar w:fldCharType="end"/>
      </w:r>
    </w:p>
    <w:p w:rsidR="00444E76" w:rsidRDefault="00EF345A" w:rsidP="00444E76">
      <w:r>
        <w:t xml:space="preserve">A case study published in </w:t>
      </w:r>
      <w:r>
        <w:fldChar w:fldCharType="begin"/>
      </w:r>
      <w:r w:rsidR="00817F40">
        <w:instrText xml:space="preserve"> ADDIN EN.CITE &lt;EndNote&gt;&lt;Cite&gt;&lt;Author&gt;Sanchez&lt;/Author&gt;&lt;Year&gt;2012&lt;/Year&gt;&lt;RecNum&gt;404&lt;/RecNum&gt;&lt;DisplayText&gt;[17]&lt;/DisplayText&gt;&lt;record&gt;&lt;rec-number&gt;404&lt;/rec-number&gt;&lt;foreign-keys&gt;&lt;key app="EN" db-id="rwzxp2sses9f5deexw8xe0tjf5f2wep0epv9"&gt;404&lt;/key&gt;&lt;/foreign-keys&gt;&lt;ref-type name="Conference Paper"&gt;47&lt;/ref-type&gt;&lt;contributors&gt;&lt;authors&gt;&lt;author&gt;Renato Alfredo Sanchez&lt;/author&gt;&lt;author&gt;Whitney Adams&lt;/author&gt;&lt;/authors&gt;&lt;/contributors&gt;&lt;titles&gt;&lt;title&gt;Casing Centralization in Horizontal and Extended Reach Wells&lt;/title&gt;&lt;secondary-title&gt;SPE/EAGE European Unconventional Resources Conference and Exhibition&lt;/secondary-title&gt;&lt;/titles&gt;&lt;dates&gt;&lt;year&gt;2012&lt;/year&gt;&lt;pub-dates&gt;&lt;date&gt;20-22 March 2012&lt;/date&gt;&lt;/pub-dates&gt;&lt;/dates&gt;&lt;pub-location&gt;Vienna, Austria&lt;/pub-location&gt;&lt;publisher&gt;Society of Petroleum Engineers&lt;/publisher&gt;&lt;accession-num&gt;SPE-150317-MS&lt;/accession-num&gt;&lt;urls&gt;&lt;related-urls&gt;&lt;url&gt;http://www.onepetro.org/mslib/app/Preview.do?paperNumber=SPE-150317-MS&amp;amp;societyCode=SPE&lt;/url&gt;&lt;/related-urls&gt;&lt;/urls&gt;&lt;electronic-resource-num&gt;10.2118/150317-ms&lt;/electronic-resource-num&gt;&lt;remote-database-name&gt;OnePetro&lt;/remote-database-name&gt;&lt;language&gt;English&lt;/language&gt;&lt;/record&gt;&lt;/Cite&gt;&lt;/EndNote&gt;</w:instrText>
      </w:r>
      <w:r>
        <w:fldChar w:fldCharType="separate"/>
      </w:r>
      <w:r w:rsidR="00817F40">
        <w:rPr>
          <w:noProof/>
        </w:rPr>
        <w:t>[</w:t>
      </w:r>
      <w:hyperlink w:anchor="_ENREF_17" w:tooltip="Sanchez, 2012 #404" w:history="1">
        <w:r w:rsidR="00817F40">
          <w:rPr>
            <w:noProof/>
          </w:rPr>
          <w:t>17</w:t>
        </w:r>
      </w:hyperlink>
      <w:r w:rsidR="00817F40">
        <w:rPr>
          <w:noProof/>
        </w:rPr>
        <w:t>]</w:t>
      </w:r>
      <w:r>
        <w:fldChar w:fldCharType="end"/>
      </w:r>
      <w:r>
        <w:t xml:space="preserve"> shows the effect of casing centralizers on a cement job.  A total of 166 centralizers were used in a 14,315 ft. well.  The centralizers allowed the operator to save time and cost by eliminating the expense of washing an</w:t>
      </w:r>
      <w:r w:rsidR="00C400A2">
        <w:t>d reaming or casing flotation.  In the study, t</w:t>
      </w:r>
      <w:r>
        <w:t xml:space="preserve">wo subject wells were used for comparison.  Results from cement bond logs show that the first well was centralized on every joint in the curve and lateral and the joints from the kick off point to the top of the cement.  The second well was not centralized and showed several areas of poor cement bond.  The centralized well showed </w:t>
      </w:r>
      <w:r w:rsidR="00C400A2">
        <w:t xml:space="preserve">an </w:t>
      </w:r>
      <w:r>
        <w:t xml:space="preserve">overall higher quality cement sheath.  </w:t>
      </w:r>
      <w:r w:rsidR="00444E76">
        <w:t>Findings from the study resulted in operational changes to include more centralizers and decrease the spacing</w:t>
      </w:r>
      <w:r w:rsidR="00D01CB1">
        <w:t>.</w:t>
      </w:r>
    </w:p>
    <w:p w:rsidR="00C71390" w:rsidRDefault="00C71390" w:rsidP="00C71390">
      <w:pPr>
        <w:pStyle w:val="Heading2"/>
      </w:pPr>
      <w:r>
        <w:t xml:space="preserve">Types of </w:t>
      </w:r>
      <w:r w:rsidR="00903994">
        <w:t>c</w:t>
      </w:r>
      <w:r>
        <w:t>entralizers</w:t>
      </w:r>
    </w:p>
    <w:p w:rsidR="00C71390" w:rsidRDefault="00C71390" w:rsidP="00C71390">
      <w:r>
        <w:t>Centralizers are divided into two basic categories: bow-type and rigid (</w:t>
      </w:r>
      <w:r>
        <w:fldChar w:fldCharType="begin"/>
      </w:r>
      <w:r>
        <w:instrText xml:space="preserve"> REF _Ref378665950 \h </w:instrText>
      </w:r>
      <w:r>
        <w:fldChar w:fldCharType="separate"/>
      </w:r>
      <w:r w:rsidR="003129FA">
        <w:t xml:space="preserve">Figure </w:t>
      </w:r>
      <w:r w:rsidR="003129FA">
        <w:rPr>
          <w:noProof/>
        </w:rPr>
        <w:t>14</w:t>
      </w:r>
      <w:r>
        <w:fldChar w:fldCharType="end"/>
      </w:r>
      <w:r>
        <w:t>).  The utility of each depends on the particular application.  Bow springs have been designed for traditional applications such as vertical or slightly deviated wells while rigid centralizers are suited for horizontal and extended reach applications.  The main purpose of each is to provide uniform spacing between casing or pipe and the wellbore.</w:t>
      </w:r>
    </w:p>
    <w:tbl>
      <w:tblPr>
        <w:tblStyle w:val="LightList-Accent1"/>
        <w:tblW w:w="0" w:type="auto"/>
        <w:tblLook w:val="0000" w:firstRow="0" w:lastRow="0" w:firstColumn="0" w:lastColumn="0" w:noHBand="0" w:noVBand="0"/>
      </w:tblPr>
      <w:tblGrid>
        <w:gridCol w:w="4788"/>
        <w:gridCol w:w="4788"/>
      </w:tblGrid>
      <w:tr w:rsidR="00C71390" w:rsidTr="00D2333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788" w:type="dxa"/>
          </w:tcPr>
          <w:p w:rsidR="00C71390" w:rsidRDefault="00C71390" w:rsidP="001F3010">
            <w:pPr>
              <w:jc w:val="center"/>
            </w:pPr>
            <w:r>
              <w:rPr>
                <w:noProof/>
              </w:rPr>
              <w:drawing>
                <wp:inline distT="0" distB="0" distL="0" distR="0" wp14:anchorId="55D6C812" wp14:editId="2BC643E4">
                  <wp:extent cx="2363830" cy="2514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_series_6bows_web.jpg"/>
                          <pic:cNvPicPr/>
                        </pic:nvPicPr>
                        <pic:blipFill>
                          <a:blip r:embed="rId21" cstate="print">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363830" cy="2514600"/>
                          </a:xfrm>
                          <a:prstGeom prst="rect">
                            <a:avLst/>
                          </a:prstGeom>
                        </pic:spPr>
                      </pic:pic>
                    </a:graphicData>
                  </a:graphic>
                </wp:inline>
              </w:drawing>
            </w:r>
          </w:p>
        </w:tc>
        <w:tc>
          <w:tcPr>
            <w:tcW w:w="4788" w:type="dxa"/>
          </w:tcPr>
          <w:p w:rsidR="00C71390" w:rsidRDefault="00C71390" w:rsidP="001F3010">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0274F9A" wp14:editId="2F25B59E">
                  <wp:extent cx="2631264" cy="251460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_series_web.jpg"/>
                          <pic:cNvPicPr/>
                        </pic:nvPicPr>
                        <pic:blipFill>
                          <a:blip r:embed="rId23" cstate="print">
                            <a:extLst>
                              <a:ext uri="{BEBA8EAE-BF5A-486C-A8C5-ECC9F3942E4B}">
                                <a14:imgProps xmlns:a14="http://schemas.microsoft.com/office/drawing/2010/main">
                                  <a14:imgLayer r:embed="rId24">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631264" cy="2514600"/>
                          </a:xfrm>
                          <a:prstGeom prst="rect">
                            <a:avLst/>
                          </a:prstGeom>
                        </pic:spPr>
                      </pic:pic>
                    </a:graphicData>
                  </a:graphic>
                </wp:inline>
              </w:drawing>
            </w:r>
          </w:p>
        </w:tc>
      </w:tr>
      <w:tr w:rsidR="00C71390" w:rsidTr="00D23335">
        <w:tc>
          <w:tcPr>
            <w:cnfStyle w:val="000010000000" w:firstRow="0" w:lastRow="0" w:firstColumn="0" w:lastColumn="0" w:oddVBand="1" w:evenVBand="0" w:oddHBand="0" w:evenHBand="0" w:firstRowFirstColumn="0" w:firstRowLastColumn="0" w:lastRowFirstColumn="0" w:lastRowLastColumn="0"/>
            <w:tcW w:w="4788" w:type="dxa"/>
          </w:tcPr>
          <w:p w:rsidR="00C71390" w:rsidRDefault="00C71390" w:rsidP="00EE1F1E">
            <w:pPr>
              <w:pStyle w:val="ListParagraph"/>
              <w:numPr>
                <w:ilvl w:val="0"/>
                <w:numId w:val="5"/>
              </w:numPr>
              <w:jc w:val="center"/>
            </w:pPr>
            <w:r>
              <w:t>Bow-spring centralizer</w:t>
            </w:r>
          </w:p>
        </w:tc>
        <w:tc>
          <w:tcPr>
            <w:tcW w:w="4788" w:type="dxa"/>
          </w:tcPr>
          <w:p w:rsidR="00C71390" w:rsidRDefault="00C71390" w:rsidP="00EE1F1E">
            <w:pPr>
              <w:pStyle w:val="ListParagraph"/>
              <w:numPr>
                <w:ilvl w:val="0"/>
                <w:numId w:val="5"/>
              </w:numPr>
              <w:jc w:val="center"/>
              <w:cnfStyle w:val="000000000000" w:firstRow="0" w:lastRow="0" w:firstColumn="0" w:lastColumn="0" w:oddVBand="0" w:evenVBand="0" w:oddHBand="0" w:evenHBand="0" w:firstRowFirstColumn="0" w:firstRowLastColumn="0" w:lastRowFirstColumn="0" w:lastRowLastColumn="0"/>
            </w:pPr>
            <w:r>
              <w:t>Rigid centralizer</w:t>
            </w:r>
          </w:p>
        </w:tc>
      </w:tr>
    </w:tbl>
    <w:p w:rsidR="00C71390" w:rsidRDefault="00C71390" w:rsidP="00C71390">
      <w:pPr>
        <w:pStyle w:val="Caption"/>
      </w:pPr>
      <w:bookmarkStart w:id="18" w:name="_Ref378665950"/>
      <w:proofErr w:type="gramStart"/>
      <w:r>
        <w:t xml:space="preserve">Figure </w:t>
      </w:r>
      <w:r w:rsidR="00D14AFE">
        <w:fldChar w:fldCharType="begin"/>
      </w:r>
      <w:r w:rsidR="00D14AFE">
        <w:instrText xml:space="preserve"> SEQ Figure \* ARABIC </w:instrText>
      </w:r>
      <w:r w:rsidR="00D14AFE">
        <w:fldChar w:fldCharType="separate"/>
      </w:r>
      <w:r w:rsidR="003129FA">
        <w:rPr>
          <w:noProof/>
        </w:rPr>
        <w:t>14</w:t>
      </w:r>
      <w:r w:rsidR="00D14AFE">
        <w:rPr>
          <w:noProof/>
        </w:rPr>
        <w:fldChar w:fldCharType="end"/>
      </w:r>
      <w:bookmarkEnd w:id="18"/>
      <w:r>
        <w:t>.</w:t>
      </w:r>
      <w:proofErr w:type="gramEnd"/>
      <w:r>
        <w:t xml:space="preserve">  Basic centralizers </w:t>
      </w:r>
      <w:r w:rsidR="00C74715">
        <w:fldChar w:fldCharType="begin"/>
      </w:r>
      <w:r w:rsidR="00817F40">
        <w:instrText xml:space="preserve"> ADDIN EN.CITE &lt;EndNote&gt;&lt;Cite&gt;&lt;Author&gt;Antelope&lt;/Author&gt;&lt;Year&gt;2014&lt;/Year&gt;&lt;RecNum&gt;437&lt;/RecNum&gt;&lt;DisplayText&gt;[18]&lt;/DisplayText&gt;&lt;record&gt;&lt;rec-number&gt;437&lt;/rec-number&gt;&lt;foreign-keys&gt;&lt;key app="EN" db-id="rwzxp2sses9f5deexw8xe0tjf5f2wep0epv9"&gt;437&lt;/key&gt;&lt;/foreign-keys&gt;&lt;ref-type name="Web Page"&gt;12&lt;/ref-type&gt;&lt;contributors&gt;&lt;authors&gt;&lt;author&gt;Antelope&lt;/author&gt;&lt;/authors&gt;&lt;/contributors&gt;&lt;titles&gt;&lt;title&gt;Series 400 - Positive / Rigid Welded Centralizers&lt;/title&gt;&lt;/titles&gt;&lt;volume&gt;2014&lt;/volume&gt;&lt;number&gt;January, 27&lt;/number&gt;&lt;dates&gt;&lt;year&gt;2014&lt;/year&gt;&lt;/dates&gt;&lt;publisher&gt;Antelope Oil Tool&lt;/publisher&gt;&lt;urls&gt;&lt;related-urls&gt;&lt;url&gt;http://www.antelopeoiltool.com/products/series-400-positive-rigid-welded-centralizers.html&lt;/url&gt;&lt;/related-urls&gt;&lt;/urls&gt;&lt;/record&gt;&lt;/Cite&gt;&lt;/EndNote&gt;</w:instrText>
      </w:r>
      <w:r w:rsidR="00C74715">
        <w:fldChar w:fldCharType="separate"/>
      </w:r>
      <w:r w:rsidR="00817F40">
        <w:rPr>
          <w:noProof/>
        </w:rPr>
        <w:t>[</w:t>
      </w:r>
      <w:hyperlink w:anchor="_ENREF_18" w:tooltip="Antelope, 2014 #437" w:history="1">
        <w:r w:rsidR="00817F40">
          <w:rPr>
            <w:noProof/>
          </w:rPr>
          <w:t>18</w:t>
        </w:r>
      </w:hyperlink>
      <w:r w:rsidR="00817F40">
        <w:rPr>
          <w:noProof/>
        </w:rPr>
        <w:t>]</w:t>
      </w:r>
      <w:r w:rsidR="00C74715">
        <w:fldChar w:fldCharType="end"/>
      </w:r>
    </w:p>
    <w:p w:rsidR="00481EF6" w:rsidRDefault="00C71390" w:rsidP="00C71390">
      <w:r>
        <w:lastRenderedPageBreak/>
        <w:t>Bow-spring centralizers are made from a set of flexible springs attached to two collars.</w:t>
      </w:r>
      <w:r w:rsidR="00481EF6">
        <w:t xml:space="preserve">  The flexible bows </w:t>
      </w:r>
      <w:r w:rsidR="00524D54">
        <w:t xml:space="preserve">generate </w:t>
      </w:r>
      <w:r w:rsidR="00481EF6">
        <w:t>a restoring force that creates separation between the casing and wellbore.</w:t>
      </w:r>
      <w:r>
        <w:t xml:space="preserve">  The shape</w:t>
      </w:r>
      <w:r w:rsidR="00524D54">
        <w:t>, size, and number of bows can</w:t>
      </w:r>
      <w:r>
        <w:t xml:space="preserve"> vary depending on the particular application.</w:t>
      </w:r>
      <w:r w:rsidR="00481EF6">
        <w:t xml:space="preserve">  Performance requirements </w:t>
      </w:r>
      <w:r w:rsidR="00524D54">
        <w:t xml:space="preserve">such as starting force, restoring force, and testing </w:t>
      </w:r>
      <w:r w:rsidR="00481EF6">
        <w:t xml:space="preserve">for bow-spring centralizers are defined in API Spec 10D </w:t>
      </w:r>
      <w:r w:rsidR="00C74715">
        <w:fldChar w:fldCharType="begin"/>
      </w:r>
      <w:r w:rsidR="00817F40">
        <w:instrText xml:space="preserve"> ADDIN EN.CITE &lt;EndNote&gt;&lt;Cite ExcludeYear="1"&gt;&lt;Author&gt;API&lt;/Author&gt;&lt;Year&gt;2010&lt;/Year&gt;&lt;RecNum&gt;429&lt;/RecNum&gt;&lt;DisplayText&gt;[19]&lt;/DisplayText&gt;&lt;record&gt;&lt;rec-number&gt;429&lt;/rec-number&gt;&lt;foreign-keys&gt;&lt;key app="EN" db-id="rwzxp2sses9f5deexw8xe0tjf5f2wep0epv9"&gt;429&lt;/key&gt;&lt;/foreign-keys&gt;&lt;ref-type name="Standard"&gt;58&lt;/ref-type&gt;&lt;contributors&gt;&lt;authors&gt;&lt;author&gt;API&lt;/author&gt;&lt;/authors&gt;&lt;/contributors&gt;&lt;titles&gt;&lt;title&gt;API Spec 10D Specification for Bow-Spring Casing Centralizers&lt;/title&gt;&lt;/titles&gt;&lt;volume&gt;API Spec 10D&lt;/volume&gt;&lt;dates&gt;&lt;year&gt;2010&lt;/year&gt;&lt;/dates&gt;&lt;pub-location&gt;Washington, DC&lt;/pub-location&gt;&lt;publisher&gt;American Petroleum Institute&lt;/publisher&gt;&lt;urls&gt;&lt;/urls&gt;&lt;/record&gt;&lt;/Cite&gt;&lt;/EndNote&gt;</w:instrText>
      </w:r>
      <w:r w:rsidR="00C74715">
        <w:fldChar w:fldCharType="separate"/>
      </w:r>
      <w:r w:rsidR="00817F40">
        <w:rPr>
          <w:noProof/>
        </w:rPr>
        <w:t>[</w:t>
      </w:r>
      <w:hyperlink w:anchor="_ENREF_19" w:tooltip="API, 2010 #429" w:history="1">
        <w:r w:rsidR="00817F40">
          <w:rPr>
            <w:noProof/>
          </w:rPr>
          <w:t>19</w:t>
        </w:r>
      </w:hyperlink>
      <w:r w:rsidR="00817F40">
        <w:rPr>
          <w:noProof/>
        </w:rPr>
        <w:t>]</w:t>
      </w:r>
      <w:r w:rsidR="00C74715">
        <w:fldChar w:fldCharType="end"/>
      </w:r>
      <w:r w:rsidR="00481EF6">
        <w:t>.</w:t>
      </w:r>
      <w:r>
        <w:t xml:space="preserve">  </w:t>
      </w:r>
      <w:r w:rsidR="00481EF6">
        <w:t>Since the outer diameter of the bows is typically larger than the well diameter, bow springs are suitable for use in washout areas.</w:t>
      </w:r>
      <w:r>
        <w:t xml:space="preserve">  </w:t>
      </w:r>
    </w:p>
    <w:p w:rsidR="00C71390" w:rsidRDefault="00C71390" w:rsidP="00C71390">
      <w:r>
        <w:t>Within the bow-spring category, there are both non-welded and welded centralizers.  The non-welded type performs well under compressive loads and is used in standard applications where no rotation is required or minimizing drag force is not a consideration.  These centralizers are not optimized for hole/pipe size combinations so they tend to be less expensive than other types.</w:t>
      </w:r>
    </w:p>
    <w:p w:rsidR="00C71390" w:rsidRDefault="00C71390" w:rsidP="00C71390">
      <w:r>
        <w:t xml:space="preserve">Welded bow-spring centralizers are optimized for specific pipe and </w:t>
      </w:r>
      <w:proofErr w:type="gramStart"/>
      <w:r>
        <w:t>hole</w:t>
      </w:r>
      <w:proofErr w:type="gramEnd"/>
      <w:r>
        <w:t xml:space="preserve"> size combinations which result in lower drag forces.  The welded design provides better performance under tensile loads and allows rotation of the string/casing within the centralizer.  The lower running force and higher restoring force make this type of centralizer a good choice when operating in washed out and highly inclined sections </w:t>
      </w:r>
      <w:r w:rsidR="00C74715">
        <w:fldChar w:fldCharType="begin"/>
      </w:r>
      <w:r w:rsidR="00817F40">
        <w:instrText xml:space="preserve"> ADDIN EN.CITE &lt;EndNote&gt;&lt;Cite&gt;&lt;Author&gt;Kinzel&lt;/Author&gt;&lt;Year&gt;1998&lt;/Year&gt;&lt;RecNum&gt;411&lt;/RecNum&gt;&lt;DisplayText&gt;[20]&lt;/DisplayText&gt;&lt;record&gt;&lt;rec-number&gt;411&lt;/rec-number&gt;&lt;foreign-keys&gt;&lt;key app="EN" db-id="rwzxp2sses9f5deexw8xe0tjf5f2wep0epv9"&gt;411&lt;/key&gt;&lt;/foreign-keys&gt;&lt;ref-type name="Report"&gt;27&lt;/ref-type&gt;&lt;contributors&gt;&lt;authors&gt;&lt;author&gt;Kinzel, Holger&lt;/author&gt;&lt;author&gt;Martens, James G.&lt;/author&gt;&lt;/authors&gt;&lt;/contributors&gt;&lt;titles&gt;&lt;title&gt;The Application of New Centralizer Types to Improve Zone Isolation in Horizontal Wells&lt;/title&gt;&lt;/titles&gt;&lt;dates&gt;&lt;year&gt;1998&lt;/year&gt;&lt;/dates&gt;&lt;urls&gt;&lt;/urls&gt;&lt;/record&gt;&lt;/Cite&gt;&lt;/EndNote&gt;</w:instrText>
      </w:r>
      <w:r w:rsidR="00C74715">
        <w:fldChar w:fldCharType="separate"/>
      </w:r>
      <w:r w:rsidR="00817F40">
        <w:rPr>
          <w:noProof/>
        </w:rPr>
        <w:t>[</w:t>
      </w:r>
      <w:hyperlink w:anchor="_ENREF_20" w:tooltip="Kinzel, 1998 #411" w:history="1">
        <w:r w:rsidR="00817F40">
          <w:rPr>
            <w:noProof/>
          </w:rPr>
          <w:t>20</w:t>
        </w:r>
      </w:hyperlink>
      <w:r w:rsidR="00817F40">
        <w:rPr>
          <w:noProof/>
        </w:rPr>
        <w:t>]</w:t>
      </w:r>
      <w:r w:rsidR="00C74715">
        <w:fldChar w:fldCharType="end"/>
      </w:r>
      <w:r>
        <w:t xml:space="preserve">. </w:t>
      </w:r>
    </w:p>
    <w:p w:rsidR="000A3AB3" w:rsidRDefault="000A3AB3" w:rsidP="00C71390">
      <w:r>
        <w:t xml:space="preserve">The difference in performance between welded and non-welded centralizers is due to the way the bows are attached to the collars.  In non-welded centralizers, the bows are attached to the collars in a way that allows them to hinge.  For welded centralizers, the bows are welded to the collars providing more rigidity in the centralizer.    </w:t>
      </w:r>
    </w:p>
    <w:p w:rsidR="00C71390" w:rsidRDefault="00C71390" w:rsidP="00C71390">
      <w:r>
        <w:t xml:space="preserve">Rigid centralizers are used when drag forces have to be minimized such as in long horizontal or highly deviated wells.  </w:t>
      </w:r>
      <w:r w:rsidR="00C51919">
        <w:t xml:space="preserve">Rigid centralizers can be used in </w:t>
      </w:r>
      <w:proofErr w:type="spellStart"/>
      <w:r w:rsidR="00C51919">
        <w:t>slimhole</w:t>
      </w:r>
      <w:proofErr w:type="spellEnd"/>
      <w:r w:rsidR="00C51919">
        <w:t xml:space="preserve"> environments, close tolerance drift diameters, and to help reduce friction in extended reach laterals  </w:t>
      </w:r>
      <w:r w:rsidR="00C51919">
        <w:fldChar w:fldCharType="begin"/>
      </w:r>
      <w:r w:rsidR="00817F40">
        <w:instrText xml:space="preserve"> ADDIN EN.CITE &lt;EndNote&gt;&lt;Cite&gt;&lt;Author&gt;Halliburton&lt;/Author&gt;&lt;Year&gt;2010&lt;/Year&gt;&lt;RecNum&gt;427&lt;/RecNum&gt;&lt;DisplayText&gt;[21]&lt;/DisplayText&gt;&lt;record&gt;&lt;rec-number&gt;427&lt;/rec-number&gt;&lt;foreign-keys&gt;&lt;key app="EN" db-id="rwzxp2sses9f5deexw8xe0tjf5f2wep0epv9"&gt;427&lt;/key&gt;&lt;/foreign-keys&gt;&lt;ref-type name="Pamphlet"&gt;24&lt;/ref-type&gt;&lt;contributors&gt;&lt;authors&gt;&lt;author&gt;Halliburton&lt;/author&gt;&lt;/authors&gt;&lt;/contributors&gt;&lt;titles&gt;&lt;title&gt;Protech CRB Centralizers&lt;/title&gt;&lt;/titles&gt;&lt;volume&gt;H06735&lt;/volume&gt;&lt;dates&gt;&lt;year&gt;2010&lt;/year&gt;&lt;/dates&gt;&lt;publisher&gt;Halliburton Cementing&lt;/publisher&gt;&lt;work-type&gt;Data Sheet&lt;/work-type&gt;&lt;urls&gt;&lt;/urls&gt;&lt;/record&gt;&lt;/Cite&gt;&lt;/EndNote&gt;</w:instrText>
      </w:r>
      <w:r w:rsidR="00C51919">
        <w:fldChar w:fldCharType="separate"/>
      </w:r>
      <w:r w:rsidR="00817F40">
        <w:rPr>
          <w:noProof/>
        </w:rPr>
        <w:t>[</w:t>
      </w:r>
      <w:hyperlink w:anchor="_ENREF_21" w:tooltip="Halliburton, 2010 #427" w:history="1">
        <w:r w:rsidR="00817F40">
          <w:rPr>
            <w:noProof/>
          </w:rPr>
          <w:t>21</w:t>
        </w:r>
      </w:hyperlink>
      <w:r w:rsidR="00817F40">
        <w:rPr>
          <w:noProof/>
        </w:rPr>
        <w:t>]</w:t>
      </w:r>
      <w:r w:rsidR="00C51919">
        <w:fldChar w:fldCharType="end"/>
      </w:r>
      <w:r w:rsidR="00C51919">
        <w:t xml:space="preserve">.  Helical blade designs help to enhance circulation and </w:t>
      </w:r>
      <w:proofErr w:type="gramStart"/>
      <w:r w:rsidR="00C51919">
        <w:t>hole</w:t>
      </w:r>
      <w:proofErr w:type="gramEnd"/>
      <w:r w:rsidR="00C51919">
        <w:t xml:space="preserve"> cleaning.  Tungsten carbide </w:t>
      </w:r>
      <w:proofErr w:type="spellStart"/>
      <w:r w:rsidR="00C51919">
        <w:t>hardfacing</w:t>
      </w:r>
      <w:proofErr w:type="spellEnd"/>
      <w:r w:rsidR="00C51919">
        <w:t xml:space="preserve"> or other friction reduction techniques are also available </w:t>
      </w:r>
      <w:r w:rsidR="00C51919">
        <w:fldChar w:fldCharType="begin"/>
      </w:r>
      <w:r w:rsidR="00817F40">
        <w:instrText xml:space="preserve"> ADDIN EN.CITE &lt;EndNote&gt;&lt;Cite&gt;&lt;Author&gt;TESCO&lt;/Author&gt;&lt;RecNum&gt;428&lt;/RecNum&gt;&lt;DisplayText&gt;[22]&lt;/DisplayText&gt;&lt;record&gt;&lt;rec-number&gt;428&lt;/rec-number&gt;&lt;foreign-keys&gt;&lt;key app="EN" db-id="rwzxp2sses9f5deexw8xe0tjf5f2wep0epv9"&gt;428&lt;/key&gt;&lt;/foreign-keys&gt;&lt;ref-type name="Pamphlet"&gt;24&lt;/ref-type&gt;&lt;contributors&gt;&lt;authors&gt;&lt;author&gt;TESCO&lt;/author&gt;&lt;/authors&gt;&lt;/contributors&gt;&lt;titles&gt;&lt;title&gt;Hydro-Form Centralizers&lt;/title&gt;&lt;/titles&gt;&lt;volume&gt;6550e Rev F&lt;/volume&gt;&lt;dates&gt;&lt;/dates&gt;&lt;publisher&gt;TESCO Corporation&lt;/publisher&gt;&lt;work-type&gt;Data Sheet&lt;/work-type&gt;&lt;urls&gt;&lt;/urls&gt;&lt;/record&gt;&lt;/Cite&gt;&lt;/EndNote&gt;</w:instrText>
      </w:r>
      <w:r w:rsidR="00C51919">
        <w:fldChar w:fldCharType="separate"/>
      </w:r>
      <w:r w:rsidR="00817F40">
        <w:rPr>
          <w:noProof/>
        </w:rPr>
        <w:t>[</w:t>
      </w:r>
      <w:hyperlink w:anchor="_ENREF_22" w:tooltip="TESCO,  #428" w:history="1">
        <w:r w:rsidR="00817F40">
          <w:rPr>
            <w:noProof/>
          </w:rPr>
          <w:t>22</w:t>
        </w:r>
      </w:hyperlink>
      <w:r w:rsidR="00817F40">
        <w:rPr>
          <w:noProof/>
        </w:rPr>
        <w:t>]</w:t>
      </w:r>
      <w:r w:rsidR="00C51919">
        <w:fldChar w:fldCharType="end"/>
      </w:r>
      <w:r w:rsidR="00C51919">
        <w:t xml:space="preserve">.  </w:t>
      </w:r>
      <w:r>
        <w:t>They are also used when the lateral forces exceed the spring compressibility.  Like the bow-spring centralizers, there are two main sub-categories for rigid centralizers.  They are solid body and finned type.</w:t>
      </w:r>
    </w:p>
    <w:p w:rsidR="00C71390" w:rsidRDefault="00C71390" w:rsidP="00C71390">
      <w:r>
        <w:t xml:space="preserve">Solid body </w:t>
      </w:r>
      <w:r w:rsidR="005D6DEC">
        <w:t xml:space="preserve">rigid </w:t>
      </w:r>
      <w:r>
        <w:t>centralizers are made from a cast material, usually a metal alloy or non-metallic composite (</w:t>
      </w:r>
      <w:r>
        <w:fldChar w:fldCharType="begin"/>
      </w:r>
      <w:r>
        <w:instrText xml:space="preserve"> REF _Ref378669948 \h </w:instrText>
      </w:r>
      <w:r>
        <w:fldChar w:fldCharType="separate"/>
      </w:r>
      <w:r w:rsidR="003129FA">
        <w:t xml:space="preserve">Figure </w:t>
      </w:r>
      <w:r w:rsidR="003129FA">
        <w:rPr>
          <w:noProof/>
        </w:rPr>
        <w:t>15</w:t>
      </w:r>
      <w:r>
        <w:fldChar w:fldCharType="end"/>
      </w:r>
      <w:r>
        <w:t>).  The wear resistance of these types of centralizers is limited due to the material selection.  When encountering an obstruction, these centralizers are susceptible to damage due to their rigid nature and the unyielding obstacle.  Modern designs for</w:t>
      </w:r>
      <w:r w:rsidR="005D6DEC">
        <w:t xml:space="preserve"> solid body centralizers</w:t>
      </w:r>
      <w:r>
        <w:t xml:space="preserve"> utilize alternative low friction materials and integration of the centralizer </w:t>
      </w:r>
      <w:r w:rsidR="006A682A">
        <w:t xml:space="preserve">directly </w:t>
      </w:r>
      <w:r>
        <w:t xml:space="preserve">into the casing </w:t>
      </w:r>
      <w:r w:rsidR="00C74715">
        <w:fldChar w:fldCharType="begin"/>
      </w:r>
      <w:r w:rsidR="00817F40">
        <w:instrText xml:space="preserve"> ADDIN EN.CITE &lt;EndNote&gt;&lt;Cite ExcludeYear="1"&gt;&lt;Author&gt;Halliburton&lt;/Author&gt;&lt;Year&gt;2010&lt;/Year&gt;&lt;RecNum&gt;427&lt;/RecNum&gt;&lt;DisplayText&gt;[21, 23]&lt;/DisplayText&gt;&lt;record&gt;&lt;rec-number&gt;427&lt;/rec-number&gt;&lt;foreign-keys&gt;&lt;key app="EN" db-id="rwzxp2sses9f5deexw8xe0tjf5f2wep0epv9"&gt;427&lt;/key&gt;&lt;/foreign-keys&gt;&lt;ref-type name="Pamphlet"&gt;24&lt;/ref-type&gt;&lt;contributors&gt;&lt;authors&gt;&lt;author&gt;Halliburton&lt;/author&gt;&lt;/authors&gt;&lt;/contributors&gt;&lt;titles&gt;&lt;title&gt;Protech CRB Centralizers&lt;/title&gt;&lt;/titles&gt;&lt;volume&gt;H06735&lt;/volume&gt;&lt;dates&gt;&lt;year&gt;2010&lt;/year&gt;&lt;/dates&gt;&lt;publisher&gt;Halliburton Cementing&lt;/publisher&gt;&lt;work-type&gt;Data Sheet&lt;/work-type&gt;&lt;urls&gt;&lt;/urls&gt;&lt;/record&gt;&lt;/Cite&gt;&lt;Cite&gt;&lt;Author&gt;Gammage&lt;/Author&gt;&lt;Year&gt;2011&lt;/Year&gt;&lt;RecNum&gt;415&lt;/RecNum&gt;&lt;record&gt;&lt;rec-number&gt;415&lt;/rec-number&gt;&lt;foreign-keys&gt;&lt;key app="EN" db-id="rwzxp2sses9f5deexw8xe0tjf5f2wep0epv9"&gt;415&lt;/key&gt;&lt;/foreign-keys&gt;&lt;ref-type name="Conference Paper"&gt;47&lt;/ref-type&gt;&lt;contributors&gt;&lt;authors&gt;&lt;author&gt;Gammage, John Hudson&lt;/author&gt;&lt;/authors&gt;&lt;/contributors&gt;&lt;titles&gt;&lt;title&gt;Advances in Casing Centralization Using Spray Metal Technology&lt;/title&gt;&lt;secondary-title&gt;Offshore Technology Conference&lt;/secondary-title&gt;&lt;/titles&gt;&lt;number&gt;OTC 21979&lt;/number&gt;&lt;dates&gt;&lt;year&gt;2011&lt;/year&gt;&lt;pub-dates&gt;&lt;date&gt;2-5 May 2011&lt;/date&gt;&lt;/pub-dates&gt;&lt;/dates&gt;&lt;pub-location&gt;Houston, TX&lt;/pub-location&gt;&lt;publisher&gt;OTC&lt;/publisher&gt;&lt;urls&gt;&lt;/urls&gt;&lt;/record&gt;&lt;/Cite&gt;&lt;/EndNote&gt;</w:instrText>
      </w:r>
      <w:r w:rsidR="00C74715">
        <w:fldChar w:fldCharType="separate"/>
      </w:r>
      <w:r w:rsidR="00817F40">
        <w:rPr>
          <w:noProof/>
        </w:rPr>
        <w:t>[</w:t>
      </w:r>
      <w:hyperlink w:anchor="_ENREF_21" w:tooltip="Halliburton, 2010 #427" w:history="1">
        <w:r w:rsidR="00817F40">
          <w:rPr>
            <w:noProof/>
          </w:rPr>
          <w:t>21</w:t>
        </w:r>
      </w:hyperlink>
      <w:r w:rsidR="00817F40">
        <w:rPr>
          <w:noProof/>
        </w:rPr>
        <w:t xml:space="preserve">, </w:t>
      </w:r>
      <w:hyperlink w:anchor="_ENREF_23" w:tooltip="Gammage, 2011 #415" w:history="1">
        <w:r w:rsidR="00817F40">
          <w:rPr>
            <w:noProof/>
          </w:rPr>
          <w:t>23</w:t>
        </w:r>
      </w:hyperlink>
      <w:r w:rsidR="00817F40">
        <w:rPr>
          <w:noProof/>
        </w:rPr>
        <w:t>]</w:t>
      </w:r>
      <w:r w:rsidR="00C74715">
        <w:fldChar w:fldCharType="end"/>
      </w:r>
      <w:r>
        <w:t xml:space="preserve">.  The spiral shape of the fins helps to induce a vortex fluid pattern that aids in mud removal.  Combining these centralizers with additional movement such as reciprocation produces the best results. </w:t>
      </w:r>
    </w:p>
    <w:p w:rsidR="00C71390" w:rsidRDefault="00C71390" w:rsidP="00C71390">
      <w:r>
        <w:rPr>
          <w:noProof/>
        </w:rPr>
        <w:lastRenderedPageBreak/>
        <w:drawing>
          <wp:inline distT="0" distB="0" distL="0" distR="0" wp14:anchorId="103553FC" wp14:editId="68E3AC08">
            <wp:extent cx="2030237" cy="2362561"/>
            <wp:effectExtent l="19050" t="19050" r="27305" b="1905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0429" cy="2362785"/>
                    </a:xfrm>
                    <a:prstGeom prst="rect">
                      <a:avLst/>
                    </a:prstGeom>
                    <a:noFill/>
                    <a:ln>
                      <a:solidFill>
                        <a:schemeClr val="tx2"/>
                      </a:solidFill>
                    </a:ln>
                  </pic:spPr>
                </pic:pic>
              </a:graphicData>
            </a:graphic>
          </wp:inline>
        </w:drawing>
      </w:r>
    </w:p>
    <w:p w:rsidR="00C71390" w:rsidRDefault="00C71390" w:rsidP="00C71390">
      <w:pPr>
        <w:pStyle w:val="Caption"/>
      </w:pPr>
      <w:bookmarkStart w:id="19" w:name="_Ref378669948"/>
      <w:proofErr w:type="gramStart"/>
      <w:r>
        <w:t xml:space="preserve">Figure </w:t>
      </w:r>
      <w:r w:rsidR="00D14AFE">
        <w:fldChar w:fldCharType="begin"/>
      </w:r>
      <w:r w:rsidR="00D14AFE">
        <w:instrText xml:space="preserve"> SEQ Figure \* ARABIC </w:instrText>
      </w:r>
      <w:r w:rsidR="00D14AFE">
        <w:fldChar w:fldCharType="separate"/>
      </w:r>
      <w:r w:rsidR="003129FA">
        <w:rPr>
          <w:noProof/>
        </w:rPr>
        <w:t>15</w:t>
      </w:r>
      <w:r w:rsidR="00D14AFE">
        <w:rPr>
          <w:noProof/>
        </w:rPr>
        <w:fldChar w:fldCharType="end"/>
      </w:r>
      <w:bookmarkEnd w:id="19"/>
      <w:r>
        <w:t>.</w:t>
      </w:r>
      <w:proofErr w:type="gramEnd"/>
      <w:r>
        <w:t xml:space="preserve">  </w:t>
      </w:r>
      <w:r w:rsidR="004C52E5">
        <w:t xml:space="preserve">Solid </w:t>
      </w:r>
      <w:r>
        <w:t xml:space="preserve">body centralizer with spiral fins </w:t>
      </w:r>
      <w:r w:rsidR="00C74715">
        <w:fldChar w:fldCharType="begin"/>
      </w:r>
      <w:r w:rsidR="00817F40">
        <w:instrText xml:space="preserve"> ADDIN EN.CITE &lt;EndNote&gt;&lt;Cite&gt;&lt;Author&gt;Weatherford&lt;/Author&gt;&lt;Year&gt;2009&lt;/Year&gt;&lt;RecNum&gt;431&lt;/RecNum&gt;&lt;DisplayText&gt;[24]&lt;/DisplayText&gt;&lt;record&gt;&lt;rec-number&gt;431&lt;/rec-number&gt;&lt;foreign-keys&gt;&lt;key app="EN" db-id="rwzxp2sses9f5deexw8xe0tjf5f2wep0epv9"&gt;431&lt;/key&gt;&lt;/foreign-keys&gt;&lt;ref-type name="Pamphlet"&gt;24&lt;/ref-type&gt;&lt;contributors&gt;&lt;authors&gt;&lt;author&gt;Weatherford&lt;/author&gt;&lt;/authors&gt;&lt;/contributors&gt;&lt;titles&gt;&lt;title&gt;Mechanical Cementing Products&lt;/title&gt;&lt;/titles&gt;&lt;volume&gt;WFT017530&lt;/volume&gt;&lt;dates&gt;&lt;year&gt;2009&lt;/year&gt;&lt;/dates&gt;&lt;publisher&gt;Weatherford International Ltd.&lt;/publisher&gt;&lt;work-type&gt;Data Sheet&lt;/work-type&gt;&lt;urls&gt;&lt;related-urls&gt;&lt;url&gt;http://www.weatherford.com/weatherford/groups/web/documents/weatherfordcorp/WFT017530.pdf&lt;/url&gt;&lt;/related-urls&gt;&lt;/urls&gt;&lt;/record&gt;&lt;/Cite&gt;&lt;/EndNote&gt;</w:instrText>
      </w:r>
      <w:r w:rsidR="00C74715">
        <w:fldChar w:fldCharType="separate"/>
      </w:r>
      <w:r w:rsidR="00817F40">
        <w:rPr>
          <w:noProof/>
        </w:rPr>
        <w:t>[</w:t>
      </w:r>
      <w:hyperlink w:anchor="_ENREF_24" w:tooltip="Weatherford, 2009 #431" w:history="1">
        <w:r w:rsidR="00817F40">
          <w:rPr>
            <w:noProof/>
          </w:rPr>
          <w:t>24</w:t>
        </w:r>
      </w:hyperlink>
      <w:r w:rsidR="00817F40">
        <w:rPr>
          <w:noProof/>
        </w:rPr>
        <w:t>]</w:t>
      </w:r>
      <w:r w:rsidR="00C74715">
        <w:fldChar w:fldCharType="end"/>
      </w:r>
    </w:p>
    <w:p w:rsidR="00C71390" w:rsidRDefault="00C71390" w:rsidP="00C71390">
      <w:r>
        <w:t xml:space="preserve">Hollow fin rigid centralizers </w:t>
      </w:r>
      <w:r w:rsidR="00EE1F1E">
        <w:t>(</w:t>
      </w:r>
      <w:r w:rsidR="00EE1F1E">
        <w:fldChar w:fldCharType="begin"/>
      </w:r>
      <w:r w:rsidR="00EE1F1E">
        <w:instrText xml:space="preserve"> REF _Ref378665950 \h </w:instrText>
      </w:r>
      <w:r w:rsidR="00EE1F1E">
        <w:fldChar w:fldCharType="separate"/>
      </w:r>
      <w:r w:rsidR="003129FA">
        <w:t xml:space="preserve">Figure </w:t>
      </w:r>
      <w:r w:rsidR="003129FA">
        <w:rPr>
          <w:noProof/>
        </w:rPr>
        <w:t>14</w:t>
      </w:r>
      <w:r w:rsidR="00EE1F1E">
        <w:fldChar w:fldCharType="end"/>
      </w:r>
      <w:r w:rsidR="006C6454">
        <w:t>b</w:t>
      </w:r>
      <w:r w:rsidR="00EE1F1E">
        <w:t xml:space="preserve">) </w:t>
      </w:r>
      <w:r>
        <w:t xml:space="preserve">are the other type of rigid centralizer.  They consist of straight or spiral hollow steel fins welded to steel collars.  The shape of the fins is designed to minimize drag forces while running pipe.  The fins also have a pre-defined collapse load to yield under stuck-pipe conditions.  The reduced drag design also enables reciprocation as well as rotation while running pipe.  They have a larger flow-by area compared to solid body centralizers thus reducing circulating pressures.  Because of these characteristics, they are well suited for use in highly deviated or horizontal wells.  They are used in conjunction with stop collars to properly locate the centralizers on the casing. </w:t>
      </w:r>
    </w:p>
    <w:p w:rsidR="00481EF6" w:rsidRDefault="00C51919" w:rsidP="00481EF6">
      <w:r>
        <w:t>The balance between running force and restoring force is a key factor</w:t>
      </w:r>
      <w:r w:rsidR="00753A03">
        <w:t xml:space="preserve"> in selecting the right centralizer.</w:t>
      </w:r>
      <w:r>
        <w:t xml:space="preserve">  </w:t>
      </w:r>
      <w:r w:rsidR="00D75B75">
        <w:t xml:space="preserve">Commercial software is available to assist in modeling forces, displacements, a positioning.  </w:t>
      </w:r>
      <w:r w:rsidR="00B62FFE">
        <w:t xml:space="preserve">However, if those tools are not available, </w:t>
      </w:r>
      <w:r w:rsidR="00D75B75">
        <w:fldChar w:fldCharType="begin"/>
      </w:r>
      <w:r w:rsidR="00D75B75">
        <w:instrText xml:space="preserve"> REF _Ref378665239 \h </w:instrText>
      </w:r>
      <w:r w:rsidR="00D75B75">
        <w:fldChar w:fldCharType="separate"/>
      </w:r>
      <w:r w:rsidR="003129FA">
        <w:t xml:space="preserve">Table </w:t>
      </w:r>
      <w:r w:rsidR="003129FA">
        <w:rPr>
          <w:noProof/>
        </w:rPr>
        <w:t>6</w:t>
      </w:r>
      <w:r w:rsidR="00D75B75">
        <w:fldChar w:fldCharType="end"/>
      </w:r>
      <w:r w:rsidR="00D75B75">
        <w:t xml:space="preserve"> provides some basic guidance for choosing centralizers.  </w:t>
      </w:r>
    </w:p>
    <w:p w:rsidR="00481EF6" w:rsidRDefault="00481EF6" w:rsidP="00481EF6">
      <w:pPr>
        <w:pStyle w:val="Caption"/>
      </w:pPr>
      <w:bookmarkStart w:id="20" w:name="_Ref378665239"/>
      <w:proofErr w:type="gramStart"/>
      <w:r>
        <w:t xml:space="preserve">Table </w:t>
      </w:r>
      <w:r w:rsidR="00D14AFE">
        <w:fldChar w:fldCharType="begin"/>
      </w:r>
      <w:r w:rsidR="00D14AFE">
        <w:instrText xml:space="preserve"> SEQ Table \* ARABIC </w:instrText>
      </w:r>
      <w:r w:rsidR="00D14AFE">
        <w:fldChar w:fldCharType="separate"/>
      </w:r>
      <w:r w:rsidR="003129FA">
        <w:rPr>
          <w:noProof/>
        </w:rPr>
        <w:t>6</w:t>
      </w:r>
      <w:r w:rsidR="00D14AFE">
        <w:rPr>
          <w:noProof/>
        </w:rPr>
        <w:fldChar w:fldCharType="end"/>
      </w:r>
      <w:bookmarkEnd w:id="20"/>
      <w:r>
        <w:t>.</w:t>
      </w:r>
      <w:proofErr w:type="gramEnd"/>
      <w:r>
        <w:t xml:space="preserve">  Selection criteria for centralizer type (bow or rigid) </w:t>
      </w:r>
      <w:r w:rsidR="00C74715">
        <w:fldChar w:fldCharType="begin"/>
      </w:r>
      <w:r w:rsidR="00DE71EA">
        <w:instrText xml:space="preserve"> ADDIN EN.CITE &lt;EndNote&gt;&lt;Cite&gt;&lt;Author&gt;Kinzel&lt;/Author&gt;&lt;Year&gt;1998&lt;/Year&gt;&lt;RecNum&gt;424&lt;/RecNum&gt;&lt;DisplayText&gt;[4]&lt;/DisplayText&gt;&lt;record&gt;&lt;rec-number&gt;424&lt;/rec-number&gt;&lt;foreign-keys&gt;&lt;key app="EN" db-id="rwzxp2sses9f5deexw8xe0tjf5f2wep0epv9"&gt;424&lt;/key&gt;&lt;/foreign-keys&gt;&lt;ref-type name="Conference Paper"&gt;47&lt;/ref-type&gt;&lt;contributors&gt;&lt;authors&gt;&lt;author&gt;Kinzel, Holger&lt;/author&gt;&lt;author&gt;Martens, James G.&lt;/author&gt;&lt;/authors&gt;&lt;/contributors&gt;&lt;titles&gt;&lt;title&gt;The Application of New Centralizer Types to Improve Zone Isolation in Horizontal Wells&lt;/title&gt;&lt;secondary-title&gt;SPE International Oil and Gas Conference and Exhibition in China,&lt;/secondary-title&gt;&lt;/titles&gt;&lt;number&gt;SPE-50438-MS&lt;/number&gt;&lt;dates&gt;&lt;year&gt;1998&lt;/year&gt;&lt;/dates&gt;&lt;pub-location&gt;Beijing, China&lt;/pub-location&gt;&lt;publisher&gt;Society of Petroleum Engineers&lt;/publisher&gt;&lt;urls&gt;&lt;/urls&gt;&lt;electronic-resource-num&gt;http://dx.doi.org/10.2118/50438-MS&lt;/electronic-resource-num&gt;&lt;/record&gt;&lt;/Cite&gt;&lt;/EndNote&gt;</w:instrText>
      </w:r>
      <w:r w:rsidR="00C74715">
        <w:fldChar w:fldCharType="separate"/>
      </w:r>
      <w:r w:rsidR="00DE71EA">
        <w:rPr>
          <w:noProof/>
        </w:rPr>
        <w:t>[</w:t>
      </w:r>
      <w:hyperlink w:anchor="_ENREF_4" w:tooltip="Kinzel, 1998 #424" w:history="1">
        <w:r w:rsidR="00817F40">
          <w:rPr>
            <w:noProof/>
          </w:rPr>
          <w:t>4</w:t>
        </w:r>
      </w:hyperlink>
      <w:r w:rsidR="00DE71EA">
        <w:rPr>
          <w:noProof/>
        </w:rPr>
        <w:t>]</w:t>
      </w:r>
      <w:r w:rsidR="00C74715">
        <w:fldChar w:fldCharType="end"/>
      </w:r>
    </w:p>
    <w:tbl>
      <w:tblPr>
        <w:tblStyle w:val="LightShading-Accent1"/>
        <w:tblW w:w="0" w:type="auto"/>
        <w:tblLook w:val="04A0" w:firstRow="1" w:lastRow="0" w:firstColumn="1" w:lastColumn="0" w:noHBand="0" w:noVBand="1"/>
      </w:tblPr>
      <w:tblGrid>
        <w:gridCol w:w="1915"/>
        <w:gridCol w:w="1915"/>
        <w:gridCol w:w="1915"/>
        <w:gridCol w:w="1915"/>
        <w:gridCol w:w="1916"/>
      </w:tblGrid>
      <w:tr w:rsidR="00481EF6" w:rsidTr="001F3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vMerge w:val="restart"/>
          </w:tcPr>
          <w:p w:rsidR="00481EF6" w:rsidRDefault="00481EF6" w:rsidP="001F3010">
            <w:pPr>
              <w:jc w:val="center"/>
            </w:pPr>
          </w:p>
        </w:tc>
        <w:tc>
          <w:tcPr>
            <w:tcW w:w="3830" w:type="dxa"/>
            <w:gridSpan w:val="2"/>
          </w:tcPr>
          <w:p w:rsidR="00481EF6" w:rsidRDefault="00481EF6" w:rsidP="001F3010">
            <w:pPr>
              <w:jc w:val="center"/>
              <w:cnfStyle w:val="100000000000" w:firstRow="1" w:lastRow="0" w:firstColumn="0" w:lastColumn="0" w:oddVBand="0" w:evenVBand="0" w:oddHBand="0" w:evenHBand="0" w:firstRowFirstColumn="0" w:firstRowLastColumn="0" w:lastRowFirstColumn="0" w:lastRowLastColumn="0"/>
            </w:pPr>
            <w:r>
              <w:t>Bow Type</w:t>
            </w:r>
          </w:p>
        </w:tc>
        <w:tc>
          <w:tcPr>
            <w:tcW w:w="3831" w:type="dxa"/>
            <w:gridSpan w:val="2"/>
          </w:tcPr>
          <w:p w:rsidR="00481EF6" w:rsidRDefault="00481EF6" w:rsidP="001F3010">
            <w:pPr>
              <w:jc w:val="center"/>
              <w:cnfStyle w:val="100000000000" w:firstRow="1" w:lastRow="0" w:firstColumn="0" w:lastColumn="0" w:oddVBand="0" w:evenVBand="0" w:oddHBand="0" w:evenHBand="0" w:firstRowFirstColumn="0" w:firstRowLastColumn="0" w:lastRowFirstColumn="0" w:lastRowLastColumn="0"/>
            </w:pPr>
            <w:r>
              <w:t>Rigid</w:t>
            </w:r>
          </w:p>
        </w:tc>
      </w:tr>
      <w:tr w:rsidR="00481EF6" w:rsidTr="001F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vMerge/>
          </w:tcPr>
          <w:p w:rsidR="00481EF6" w:rsidRDefault="00481EF6" w:rsidP="001F3010">
            <w:pPr>
              <w:jc w:val="center"/>
            </w:pPr>
          </w:p>
        </w:tc>
        <w:tc>
          <w:tcPr>
            <w:tcW w:w="1915"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Non-weld</w:t>
            </w:r>
          </w:p>
        </w:tc>
        <w:tc>
          <w:tcPr>
            <w:tcW w:w="1915"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Welded</w:t>
            </w:r>
          </w:p>
        </w:tc>
        <w:tc>
          <w:tcPr>
            <w:tcW w:w="1915"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Solid Body</w:t>
            </w:r>
          </w:p>
        </w:tc>
        <w:tc>
          <w:tcPr>
            <w:tcW w:w="1916"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Finned</w:t>
            </w:r>
          </w:p>
        </w:tc>
      </w:tr>
      <w:tr w:rsidR="00481EF6" w:rsidTr="001F3010">
        <w:tc>
          <w:tcPr>
            <w:cnfStyle w:val="001000000000" w:firstRow="0" w:lastRow="0" w:firstColumn="1" w:lastColumn="0" w:oddVBand="0" w:evenVBand="0" w:oddHBand="0" w:evenHBand="0" w:firstRowFirstColumn="0" w:firstRowLastColumn="0" w:lastRowFirstColumn="0" w:lastRowLastColumn="0"/>
            <w:tcW w:w="1915" w:type="dxa"/>
          </w:tcPr>
          <w:p w:rsidR="00481EF6" w:rsidRDefault="00481EF6" w:rsidP="001F3010">
            <w:r>
              <w:t>Rotating liner applications</w:t>
            </w:r>
          </w:p>
        </w:tc>
        <w:tc>
          <w:tcPr>
            <w:tcW w:w="1915" w:type="dxa"/>
          </w:tcPr>
          <w:p w:rsidR="00481EF6" w:rsidRDefault="00481EF6" w:rsidP="001F3010">
            <w:pPr>
              <w:jc w:val="center"/>
              <w:cnfStyle w:val="000000000000" w:firstRow="0" w:lastRow="0" w:firstColumn="0" w:lastColumn="0" w:oddVBand="0" w:evenVBand="0" w:oddHBand="0" w:evenHBand="0" w:firstRowFirstColumn="0" w:firstRowLastColumn="0" w:lastRowFirstColumn="0" w:lastRowLastColumn="0"/>
            </w:pPr>
            <w:r>
              <w:t>Not advisable</w:t>
            </w:r>
          </w:p>
        </w:tc>
        <w:tc>
          <w:tcPr>
            <w:tcW w:w="1915" w:type="dxa"/>
          </w:tcPr>
          <w:p w:rsidR="00481EF6" w:rsidRDefault="00481EF6" w:rsidP="001F3010">
            <w:pPr>
              <w:jc w:val="center"/>
              <w:cnfStyle w:val="000000000000" w:firstRow="0" w:lastRow="0" w:firstColumn="0" w:lastColumn="0" w:oddVBand="0" w:evenVBand="0" w:oddHBand="0" w:evenHBand="0" w:firstRowFirstColumn="0" w:firstRowLastColumn="0" w:lastRowFirstColumn="0" w:lastRowLastColumn="0"/>
            </w:pPr>
            <w:r>
              <w:t>Excellent</w:t>
            </w:r>
          </w:p>
        </w:tc>
        <w:tc>
          <w:tcPr>
            <w:tcW w:w="1915" w:type="dxa"/>
          </w:tcPr>
          <w:p w:rsidR="00481EF6" w:rsidRDefault="00481EF6" w:rsidP="001F3010">
            <w:pPr>
              <w:jc w:val="center"/>
              <w:cnfStyle w:val="000000000000" w:firstRow="0" w:lastRow="0" w:firstColumn="0" w:lastColumn="0" w:oddVBand="0" w:evenVBand="0" w:oddHBand="0" w:evenHBand="0" w:firstRowFirstColumn="0" w:firstRowLastColumn="0" w:lastRowFirstColumn="0" w:lastRowLastColumn="0"/>
            </w:pPr>
            <w:r>
              <w:t>Good</w:t>
            </w:r>
          </w:p>
        </w:tc>
        <w:tc>
          <w:tcPr>
            <w:tcW w:w="1916" w:type="dxa"/>
          </w:tcPr>
          <w:p w:rsidR="00481EF6" w:rsidRDefault="00481EF6" w:rsidP="001F3010">
            <w:pPr>
              <w:jc w:val="center"/>
              <w:cnfStyle w:val="000000000000" w:firstRow="0" w:lastRow="0" w:firstColumn="0" w:lastColumn="0" w:oddVBand="0" w:evenVBand="0" w:oddHBand="0" w:evenHBand="0" w:firstRowFirstColumn="0" w:firstRowLastColumn="0" w:lastRowFirstColumn="0" w:lastRowLastColumn="0"/>
            </w:pPr>
            <w:r>
              <w:t>Excellent</w:t>
            </w:r>
          </w:p>
        </w:tc>
      </w:tr>
      <w:tr w:rsidR="00481EF6" w:rsidTr="001F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481EF6" w:rsidRDefault="00481EF6" w:rsidP="001F3010">
            <w:r>
              <w:t>Minimize drag force</w:t>
            </w:r>
          </w:p>
        </w:tc>
        <w:tc>
          <w:tcPr>
            <w:tcW w:w="1915"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Not optimized</w:t>
            </w:r>
          </w:p>
        </w:tc>
        <w:tc>
          <w:tcPr>
            <w:tcW w:w="1915"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Excellent</w:t>
            </w:r>
          </w:p>
        </w:tc>
        <w:tc>
          <w:tcPr>
            <w:tcW w:w="1915"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Good</w:t>
            </w:r>
          </w:p>
        </w:tc>
        <w:tc>
          <w:tcPr>
            <w:tcW w:w="1916"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Excellent</w:t>
            </w:r>
          </w:p>
        </w:tc>
      </w:tr>
      <w:tr w:rsidR="00481EF6" w:rsidTr="001F3010">
        <w:tc>
          <w:tcPr>
            <w:cnfStyle w:val="001000000000" w:firstRow="0" w:lastRow="0" w:firstColumn="1" w:lastColumn="0" w:oddVBand="0" w:evenVBand="0" w:oddHBand="0" w:evenHBand="0" w:firstRowFirstColumn="0" w:firstRowLastColumn="0" w:lastRowFirstColumn="0" w:lastRowLastColumn="0"/>
            <w:tcW w:w="1915" w:type="dxa"/>
          </w:tcPr>
          <w:p w:rsidR="00481EF6" w:rsidRDefault="00481EF6" w:rsidP="001F3010">
            <w:r>
              <w:t>High build rate</w:t>
            </w:r>
          </w:p>
        </w:tc>
        <w:tc>
          <w:tcPr>
            <w:tcW w:w="1915" w:type="dxa"/>
          </w:tcPr>
          <w:p w:rsidR="00481EF6" w:rsidRDefault="00481EF6" w:rsidP="001F3010">
            <w:pPr>
              <w:jc w:val="center"/>
              <w:cnfStyle w:val="000000000000" w:firstRow="0" w:lastRow="0" w:firstColumn="0" w:lastColumn="0" w:oddVBand="0" w:evenVBand="0" w:oddHBand="0" w:evenHBand="0" w:firstRowFirstColumn="0" w:firstRowLastColumn="0" w:lastRowFirstColumn="0" w:lastRowLastColumn="0"/>
            </w:pPr>
            <w:r>
              <w:t>Good</w:t>
            </w:r>
          </w:p>
        </w:tc>
        <w:tc>
          <w:tcPr>
            <w:tcW w:w="1915" w:type="dxa"/>
          </w:tcPr>
          <w:p w:rsidR="00481EF6" w:rsidRDefault="00481EF6" w:rsidP="001F3010">
            <w:pPr>
              <w:jc w:val="center"/>
              <w:cnfStyle w:val="000000000000" w:firstRow="0" w:lastRow="0" w:firstColumn="0" w:lastColumn="0" w:oddVBand="0" w:evenVBand="0" w:oddHBand="0" w:evenHBand="0" w:firstRowFirstColumn="0" w:firstRowLastColumn="0" w:lastRowFirstColumn="0" w:lastRowLastColumn="0"/>
            </w:pPr>
            <w:r>
              <w:t>Good</w:t>
            </w:r>
          </w:p>
        </w:tc>
        <w:tc>
          <w:tcPr>
            <w:tcW w:w="1915" w:type="dxa"/>
          </w:tcPr>
          <w:p w:rsidR="00481EF6" w:rsidRDefault="00481EF6" w:rsidP="001F3010">
            <w:pPr>
              <w:jc w:val="center"/>
              <w:cnfStyle w:val="000000000000" w:firstRow="0" w:lastRow="0" w:firstColumn="0" w:lastColumn="0" w:oddVBand="0" w:evenVBand="0" w:oddHBand="0" w:evenHBand="0" w:firstRowFirstColumn="0" w:firstRowLastColumn="0" w:lastRowFirstColumn="0" w:lastRowLastColumn="0"/>
            </w:pPr>
            <w:r>
              <w:t>Not advisable</w:t>
            </w:r>
          </w:p>
        </w:tc>
        <w:tc>
          <w:tcPr>
            <w:tcW w:w="1916" w:type="dxa"/>
          </w:tcPr>
          <w:p w:rsidR="00481EF6" w:rsidRDefault="00481EF6" w:rsidP="001F3010">
            <w:pPr>
              <w:jc w:val="center"/>
              <w:cnfStyle w:val="000000000000" w:firstRow="0" w:lastRow="0" w:firstColumn="0" w:lastColumn="0" w:oddVBand="0" w:evenVBand="0" w:oddHBand="0" w:evenHBand="0" w:firstRowFirstColumn="0" w:firstRowLastColumn="0" w:lastRowFirstColumn="0" w:lastRowLastColumn="0"/>
            </w:pPr>
            <w:r>
              <w:t>Good</w:t>
            </w:r>
          </w:p>
        </w:tc>
      </w:tr>
      <w:tr w:rsidR="00481EF6" w:rsidTr="001F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481EF6" w:rsidRDefault="00481EF6" w:rsidP="001F3010">
            <w:r>
              <w:t>Passing restrictions in wellbore</w:t>
            </w:r>
          </w:p>
        </w:tc>
        <w:tc>
          <w:tcPr>
            <w:tcW w:w="1915"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Good</w:t>
            </w:r>
          </w:p>
        </w:tc>
        <w:tc>
          <w:tcPr>
            <w:tcW w:w="1915"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Good</w:t>
            </w:r>
          </w:p>
        </w:tc>
        <w:tc>
          <w:tcPr>
            <w:tcW w:w="1915"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No</w:t>
            </w:r>
          </w:p>
        </w:tc>
        <w:tc>
          <w:tcPr>
            <w:tcW w:w="1916"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Pass without damage</w:t>
            </w:r>
          </w:p>
        </w:tc>
      </w:tr>
      <w:tr w:rsidR="00481EF6" w:rsidTr="001F3010">
        <w:tc>
          <w:tcPr>
            <w:cnfStyle w:val="001000000000" w:firstRow="0" w:lastRow="0" w:firstColumn="1" w:lastColumn="0" w:oddVBand="0" w:evenVBand="0" w:oddHBand="0" w:evenHBand="0" w:firstRowFirstColumn="0" w:firstRowLastColumn="0" w:lastRowFirstColumn="0" w:lastRowLastColumn="0"/>
            <w:tcW w:w="1915" w:type="dxa"/>
          </w:tcPr>
          <w:p w:rsidR="00481EF6" w:rsidRDefault="00481EF6" w:rsidP="001F3010">
            <w:r>
              <w:t>Hydrodynamics</w:t>
            </w:r>
          </w:p>
        </w:tc>
        <w:tc>
          <w:tcPr>
            <w:tcW w:w="1915" w:type="dxa"/>
          </w:tcPr>
          <w:p w:rsidR="00481EF6" w:rsidRDefault="00481EF6" w:rsidP="001F3010">
            <w:pPr>
              <w:jc w:val="center"/>
              <w:cnfStyle w:val="000000000000" w:firstRow="0" w:lastRow="0" w:firstColumn="0" w:lastColumn="0" w:oddVBand="0" w:evenVBand="0" w:oddHBand="0" w:evenHBand="0" w:firstRowFirstColumn="0" w:firstRowLastColumn="0" w:lastRowFirstColumn="0" w:lastRowLastColumn="0"/>
            </w:pPr>
            <w:r>
              <w:t>Not optimized</w:t>
            </w:r>
          </w:p>
        </w:tc>
        <w:tc>
          <w:tcPr>
            <w:tcW w:w="1915" w:type="dxa"/>
          </w:tcPr>
          <w:p w:rsidR="00481EF6" w:rsidRDefault="00481EF6" w:rsidP="001F3010">
            <w:pPr>
              <w:jc w:val="center"/>
              <w:cnfStyle w:val="000000000000" w:firstRow="0" w:lastRow="0" w:firstColumn="0" w:lastColumn="0" w:oddVBand="0" w:evenVBand="0" w:oddHBand="0" w:evenHBand="0" w:firstRowFirstColumn="0" w:firstRowLastColumn="0" w:lastRowFirstColumn="0" w:lastRowLastColumn="0"/>
            </w:pPr>
            <w:r>
              <w:t>Good</w:t>
            </w:r>
          </w:p>
        </w:tc>
        <w:tc>
          <w:tcPr>
            <w:tcW w:w="1915" w:type="dxa"/>
          </w:tcPr>
          <w:p w:rsidR="00481EF6" w:rsidRDefault="00481EF6" w:rsidP="001F3010">
            <w:pPr>
              <w:jc w:val="center"/>
              <w:cnfStyle w:val="000000000000" w:firstRow="0" w:lastRow="0" w:firstColumn="0" w:lastColumn="0" w:oddVBand="0" w:evenVBand="0" w:oddHBand="0" w:evenHBand="0" w:firstRowFirstColumn="0" w:firstRowLastColumn="0" w:lastRowFirstColumn="0" w:lastRowLastColumn="0"/>
            </w:pPr>
            <w:r>
              <w:t>Good</w:t>
            </w:r>
          </w:p>
        </w:tc>
        <w:tc>
          <w:tcPr>
            <w:tcW w:w="1916" w:type="dxa"/>
          </w:tcPr>
          <w:p w:rsidR="00481EF6" w:rsidRDefault="00481EF6" w:rsidP="001F3010">
            <w:pPr>
              <w:jc w:val="center"/>
              <w:cnfStyle w:val="000000000000" w:firstRow="0" w:lastRow="0" w:firstColumn="0" w:lastColumn="0" w:oddVBand="0" w:evenVBand="0" w:oddHBand="0" w:evenHBand="0" w:firstRowFirstColumn="0" w:firstRowLastColumn="0" w:lastRowFirstColumn="0" w:lastRowLastColumn="0"/>
            </w:pPr>
            <w:r>
              <w:t>Optimized</w:t>
            </w:r>
          </w:p>
        </w:tc>
      </w:tr>
      <w:tr w:rsidR="00481EF6" w:rsidTr="001F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481EF6" w:rsidRDefault="00481EF6" w:rsidP="001F3010">
            <w:r>
              <w:t>Passing casing windows</w:t>
            </w:r>
          </w:p>
        </w:tc>
        <w:tc>
          <w:tcPr>
            <w:tcW w:w="1915"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Use caution</w:t>
            </w:r>
          </w:p>
        </w:tc>
        <w:tc>
          <w:tcPr>
            <w:tcW w:w="1915"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Good</w:t>
            </w:r>
          </w:p>
        </w:tc>
        <w:tc>
          <w:tcPr>
            <w:tcW w:w="1915"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Use caution</w:t>
            </w:r>
          </w:p>
        </w:tc>
        <w:tc>
          <w:tcPr>
            <w:tcW w:w="1916"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Good</w:t>
            </w:r>
          </w:p>
        </w:tc>
      </w:tr>
      <w:tr w:rsidR="00481EF6" w:rsidTr="001F3010">
        <w:tc>
          <w:tcPr>
            <w:cnfStyle w:val="001000000000" w:firstRow="0" w:lastRow="0" w:firstColumn="1" w:lastColumn="0" w:oddVBand="0" w:evenVBand="0" w:oddHBand="0" w:evenHBand="0" w:firstRowFirstColumn="0" w:firstRowLastColumn="0" w:lastRowFirstColumn="0" w:lastRowLastColumn="0"/>
            <w:tcW w:w="1915" w:type="dxa"/>
          </w:tcPr>
          <w:p w:rsidR="00481EF6" w:rsidRDefault="00481EF6" w:rsidP="001F3010">
            <w:r>
              <w:t>Gauge hole</w:t>
            </w:r>
          </w:p>
        </w:tc>
        <w:tc>
          <w:tcPr>
            <w:tcW w:w="1915" w:type="dxa"/>
          </w:tcPr>
          <w:p w:rsidR="00481EF6" w:rsidRDefault="00481EF6" w:rsidP="001F3010">
            <w:pPr>
              <w:jc w:val="center"/>
              <w:cnfStyle w:val="000000000000" w:firstRow="0" w:lastRow="0" w:firstColumn="0" w:lastColumn="0" w:oddVBand="0" w:evenVBand="0" w:oddHBand="0" w:evenHBand="0" w:firstRowFirstColumn="0" w:firstRowLastColumn="0" w:lastRowFirstColumn="0" w:lastRowLastColumn="0"/>
            </w:pPr>
            <w:r>
              <w:t>Excellent</w:t>
            </w:r>
          </w:p>
        </w:tc>
        <w:tc>
          <w:tcPr>
            <w:tcW w:w="1915" w:type="dxa"/>
          </w:tcPr>
          <w:p w:rsidR="00481EF6" w:rsidRDefault="00481EF6" w:rsidP="001F3010">
            <w:pPr>
              <w:jc w:val="center"/>
              <w:cnfStyle w:val="000000000000" w:firstRow="0" w:lastRow="0" w:firstColumn="0" w:lastColumn="0" w:oddVBand="0" w:evenVBand="0" w:oddHBand="0" w:evenHBand="0" w:firstRowFirstColumn="0" w:firstRowLastColumn="0" w:lastRowFirstColumn="0" w:lastRowLastColumn="0"/>
            </w:pPr>
            <w:r>
              <w:t>Excellent</w:t>
            </w:r>
          </w:p>
        </w:tc>
        <w:tc>
          <w:tcPr>
            <w:tcW w:w="1915" w:type="dxa"/>
          </w:tcPr>
          <w:p w:rsidR="00481EF6" w:rsidRDefault="00481EF6" w:rsidP="001F3010">
            <w:pPr>
              <w:jc w:val="center"/>
              <w:cnfStyle w:val="000000000000" w:firstRow="0" w:lastRow="0" w:firstColumn="0" w:lastColumn="0" w:oddVBand="0" w:evenVBand="0" w:oddHBand="0" w:evenHBand="0" w:firstRowFirstColumn="0" w:firstRowLastColumn="0" w:lastRowFirstColumn="0" w:lastRowLastColumn="0"/>
            </w:pPr>
            <w:r>
              <w:t>Excellent</w:t>
            </w:r>
          </w:p>
        </w:tc>
        <w:tc>
          <w:tcPr>
            <w:tcW w:w="1916" w:type="dxa"/>
          </w:tcPr>
          <w:p w:rsidR="00481EF6" w:rsidRDefault="00481EF6" w:rsidP="001F3010">
            <w:pPr>
              <w:jc w:val="center"/>
              <w:cnfStyle w:val="000000000000" w:firstRow="0" w:lastRow="0" w:firstColumn="0" w:lastColumn="0" w:oddVBand="0" w:evenVBand="0" w:oddHBand="0" w:evenHBand="0" w:firstRowFirstColumn="0" w:firstRowLastColumn="0" w:lastRowFirstColumn="0" w:lastRowLastColumn="0"/>
            </w:pPr>
            <w:r>
              <w:t>Excellent</w:t>
            </w:r>
          </w:p>
        </w:tc>
      </w:tr>
      <w:tr w:rsidR="00481EF6" w:rsidTr="001F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481EF6" w:rsidRDefault="00481EF6" w:rsidP="001F3010">
            <w:r>
              <w:t>Slightly oversize hole</w:t>
            </w:r>
          </w:p>
        </w:tc>
        <w:tc>
          <w:tcPr>
            <w:tcW w:w="1915"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Excellent</w:t>
            </w:r>
          </w:p>
        </w:tc>
        <w:tc>
          <w:tcPr>
            <w:tcW w:w="1915"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Excellent</w:t>
            </w:r>
          </w:p>
        </w:tc>
        <w:tc>
          <w:tcPr>
            <w:tcW w:w="1915"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Good</w:t>
            </w:r>
          </w:p>
        </w:tc>
        <w:tc>
          <w:tcPr>
            <w:tcW w:w="1916"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Good</w:t>
            </w:r>
          </w:p>
        </w:tc>
      </w:tr>
      <w:tr w:rsidR="00481EF6" w:rsidTr="001F3010">
        <w:tc>
          <w:tcPr>
            <w:cnfStyle w:val="001000000000" w:firstRow="0" w:lastRow="0" w:firstColumn="1" w:lastColumn="0" w:oddVBand="0" w:evenVBand="0" w:oddHBand="0" w:evenHBand="0" w:firstRowFirstColumn="0" w:firstRowLastColumn="0" w:lastRowFirstColumn="0" w:lastRowLastColumn="0"/>
            <w:tcW w:w="1915" w:type="dxa"/>
          </w:tcPr>
          <w:p w:rsidR="00481EF6" w:rsidRDefault="00481EF6" w:rsidP="001F3010">
            <w:r>
              <w:lastRenderedPageBreak/>
              <w:t>Large washout section</w:t>
            </w:r>
          </w:p>
        </w:tc>
        <w:tc>
          <w:tcPr>
            <w:tcW w:w="1915" w:type="dxa"/>
          </w:tcPr>
          <w:p w:rsidR="00481EF6" w:rsidRDefault="00481EF6" w:rsidP="001F3010">
            <w:pPr>
              <w:jc w:val="center"/>
              <w:cnfStyle w:val="000000000000" w:firstRow="0" w:lastRow="0" w:firstColumn="0" w:lastColumn="0" w:oddVBand="0" w:evenVBand="0" w:oddHBand="0" w:evenHBand="0" w:firstRowFirstColumn="0" w:firstRowLastColumn="0" w:lastRowFirstColumn="0" w:lastRowLastColumn="0"/>
            </w:pPr>
            <w:r>
              <w:t>Excellent</w:t>
            </w:r>
          </w:p>
        </w:tc>
        <w:tc>
          <w:tcPr>
            <w:tcW w:w="1915" w:type="dxa"/>
          </w:tcPr>
          <w:p w:rsidR="00481EF6" w:rsidRDefault="00481EF6" w:rsidP="001F3010">
            <w:pPr>
              <w:jc w:val="center"/>
              <w:cnfStyle w:val="000000000000" w:firstRow="0" w:lastRow="0" w:firstColumn="0" w:lastColumn="0" w:oddVBand="0" w:evenVBand="0" w:oddHBand="0" w:evenHBand="0" w:firstRowFirstColumn="0" w:firstRowLastColumn="0" w:lastRowFirstColumn="0" w:lastRowLastColumn="0"/>
            </w:pPr>
            <w:r>
              <w:t>Good</w:t>
            </w:r>
          </w:p>
        </w:tc>
        <w:tc>
          <w:tcPr>
            <w:tcW w:w="1915" w:type="dxa"/>
          </w:tcPr>
          <w:p w:rsidR="00481EF6" w:rsidRDefault="00481EF6" w:rsidP="001F3010">
            <w:pPr>
              <w:jc w:val="center"/>
              <w:cnfStyle w:val="000000000000" w:firstRow="0" w:lastRow="0" w:firstColumn="0" w:lastColumn="0" w:oddVBand="0" w:evenVBand="0" w:oddHBand="0" w:evenHBand="0" w:firstRowFirstColumn="0" w:firstRowLastColumn="0" w:lastRowFirstColumn="0" w:lastRowLastColumn="0"/>
            </w:pPr>
            <w:r>
              <w:t>Not advisable</w:t>
            </w:r>
          </w:p>
        </w:tc>
        <w:tc>
          <w:tcPr>
            <w:tcW w:w="1916" w:type="dxa"/>
          </w:tcPr>
          <w:p w:rsidR="00481EF6" w:rsidRDefault="00481EF6" w:rsidP="001F3010">
            <w:pPr>
              <w:jc w:val="center"/>
              <w:cnfStyle w:val="000000000000" w:firstRow="0" w:lastRow="0" w:firstColumn="0" w:lastColumn="0" w:oddVBand="0" w:evenVBand="0" w:oddHBand="0" w:evenHBand="0" w:firstRowFirstColumn="0" w:firstRowLastColumn="0" w:lastRowFirstColumn="0" w:lastRowLastColumn="0"/>
            </w:pPr>
            <w:r>
              <w:t>Not advisable</w:t>
            </w:r>
          </w:p>
        </w:tc>
      </w:tr>
      <w:tr w:rsidR="00481EF6" w:rsidTr="001F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481EF6" w:rsidRDefault="00481EF6" w:rsidP="001F3010">
            <w:r>
              <w:t>Under gauge hole</w:t>
            </w:r>
          </w:p>
        </w:tc>
        <w:tc>
          <w:tcPr>
            <w:tcW w:w="1915"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Good</w:t>
            </w:r>
          </w:p>
        </w:tc>
        <w:tc>
          <w:tcPr>
            <w:tcW w:w="1915"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Good</w:t>
            </w:r>
          </w:p>
        </w:tc>
        <w:tc>
          <w:tcPr>
            <w:tcW w:w="1915"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No</w:t>
            </w:r>
          </w:p>
        </w:tc>
        <w:tc>
          <w:tcPr>
            <w:tcW w:w="1916" w:type="dxa"/>
          </w:tcPr>
          <w:p w:rsidR="00481EF6" w:rsidRDefault="00481EF6" w:rsidP="001F3010">
            <w:pPr>
              <w:jc w:val="center"/>
              <w:cnfStyle w:val="000000100000" w:firstRow="0" w:lastRow="0" w:firstColumn="0" w:lastColumn="0" w:oddVBand="0" w:evenVBand="0" w:oddHBand="1" w:evenHBand="0" w:firstRowFirstColumn="0" w:firstRowLastColumn="0" w:lastRowFirstColumn="0" w:lastRowLastColumn="0"/>
            </w:pPr>
            <w:r>
              <w:t>No</w:t>
            </w:r>
          </w:p>
        </w:tc>
      </w:tr>
    </w:tbl>
    <w:p w:rsidR="00481EF6" w:rsidRDefault="00481EF6" w:rsidP="00C71390"/>
    <w:p w:rsidR="009852F1" w:rsidRDefault="009852F1" w:rsidP="009852F1">
      <w:pPr>
        <w:pStyle w:val="Heading2"/>
      </w:pPr>
      <w:r>
        <w:t>How do I use them?</w:t>
      </w:r>
    </w:p>
    <w:p w:rsidR="00562BF0" w:rsidRDefault="00562BF0" w:rsidP="00562BF0">
      <w:r>
        <w:t xml:space="preserve">Positioning centralizers in the </w:t>
      </w:r>
      <w:r w:rsidR="006C6454">
        <w:t xml:space="preserve">correct </w:t>
      </w:r>
      <w:r>
        <w:t xml:space="preserve">place down hole is critical to their utility.  Techniques for establishing centralizer placement have been published in the literature </w:t>
      </w:r>
      <w:r>
        <w:fldChar w:fldCharType="begin"/>
      </w:r>
      <w:r w:rsidR="00817F40">
        <w:instrText xml:space="preserve"> ADDIN EN.CITE &lt;EndNote&gt;&lt;Cite&gt;&lt;Author&gt;Juvkam-Wold&lt;/Author&gt;&lt;Year&gt;1992&lt;/Year&gt;&lt;RecNum&gt;410&lt;/RecNum&gt;&lt;DisplayText&gt;[25-27]&lt;/DisplayText&gt;&lt;record&gt;&lt;rec-number&gt;410&lt;/rec-number&gt;&lt;foreign-keys&gt;&lt;key app="EN" db-id="rwzxp2sses9f5deexw8xe0tjf5f2wep0epv9"&gt;410&lt;/key&gt;&lt;/foreign-keys&gt;&lt;ref-type name="Journal Article"&gt;17&lt;/ref-type&gt;&lt;contributors&gt;&lt;authors&gt;&lt;author&gt;Juvkam-Wold, H. C.&lt;/author&gt;&lt;author&gt;Wu, Jiang&lt;/author&gt;&lt;/authors&gt;&lt;/contributors&gt;&lt;titles&gt;&lt;title&gt;Casing Deflection and Centralizer Spacing Calculations&lt;/title&gt;&lt;secondary-title&gt;SPE Drilling Engineering&lt;/secondary-title&gt;&lt;short-title&gt;SPE-21282-PA&lt;/short-title&gt;&lt;/titles&gt;&lt;periodical&gt;&lt;full-title&gt;SPE Drilling Engineering&lt;/full-title&gt;&lt;/periodical&gt;&lt;pages&gt;268-274&lt;/pages&gt;&lt;volume&gt;7&lt;/volume&gt;&lt;number&gt;04&lt;/number&gt;&lt;dates&gt;&lt;year&gt;1992&lt;/year&gt;&lt;/dates&gt;&lt;isbn&gt;0885-9744&lt;/isbn&gt;&lt;urls&gt;&lt;/urls&gt;&lt;/record&gt;&lt;/Cite&gt;&lt;Cite&gt;&lt;Author&gt;Blanco&lt;/Author&gt;&lt;Year&gt;2000&lt;/Year&gt;&lt;RecNum&gt;416&lt;/RecNum&gt;&lt;record&gt;&lt;rec-number&gt;416&lt;/rec-number&gt;&lt;foreign-keys&gt;&lt;key app="EN" db-id="rwzxp2sses9f5deexw8xe0tjf5f2wep0epv9"&gt;416&lt;/key&gt;&lt;/foreign-keys&gt;&lt;ref-type name="Report"&gt;27&lt;/ref-type&gt;&lt;contributors&gt;&lt;authors&gt;&lt;author&gt;Blanco, A.&lt;/author&gt;&lt;author&gt;Ciccola, V.&lt;/author&gt;&lt;author&gt;Limongi, E.&lt;/author&gt;&lt;/authors&gt;&lt;/contributors&gt;&lt;titles&gt;&lt;title&gt;Casing Centralization in Horizontal and Highly Inclined Wellbores&lt;/title&gt;&lt;/titles&gt;&lt;dates&gt;&lt;year&gt;2000&lt;/year&gt;&lt;/dates&gt;&lt;urls&gt;&lt;/urls&gt;&lt;/record&gt;&lt;/Cite&gt;&lt;Cite ExcludeYear="1"&gt;&lt;Author&gt;API&lt;/Author&gt;&lt;Year&gt;2010&lt;/Year&gt;&lt;RecNum&gt;430&lt;/RecNum&gt;&lt;record&gt;&lt;rec-number&gt;430&lt;/rec-number&gt;&lt;foreign-keys&gt;&lt;key app="EN" db-id="rwzxp2sses9f5deexw8xe0tjf5f2wep0epv9"&gt;430&lt;/key&gt;&lt;/foreign-keys&gt;&lt;ref-type name="Standard"&gt;58&lt;/ref-type&gt;&lt;contributors&gt;&lt;authors&gt;&lt;author&gt;API&lt;/author&gt;&lt;/authors&gt;&lt;/contributors&gt;&lt;titles&gt;&lt;title&gt;API RP 10D-2 Recommended Practice for Centralizer Placement and Stop-collar Testing&lt;/title&gt;&lt;/titles&gt;&lt;volume&gt;API RP 10D-2&lt;/volume&gt;&lt;dates&gt;&lt;year&gt;2010&lt;/year&gt;&lt;/dates&gt;&lt;pub-location&gt;Washington, DC&lt;/pub-location&gt;&lt;publisher&gt;American Petroleum Institute&lt;/publisher&gt;&lt;urls&gt;&lt;/urls&gt;&lt;/record&gt;&lt;/Cite&gt;&lt;/EndNote&gt;</w:instrText>
      </w:r>
      <w:r>
        <w:fldChar w:fldCharType="separate"/>
      </w:r>
      <w:r w:rsidR="00817F40">
        <w:rPr>
          <w:noProof/>
        </w:rPr>
        <w:t>[</w:t>
      </w:r>
      <w:hyperlink w:anchor="_ENREF_25" w:tooltip="Juvkam-Wold, 1992 #410" w:history="1">
        <w:r w:rsidR="00817F40">
          <w:rPr>
            <w:noProof/>
          </w:rPr>
          <w:t>25-27</w:t>
        </w:r>
      </w:hyperlink>
      <w:r w:rsidR="00817F40">
        <w:rPr>
          <w:noProof/>
        </w:rPr>
        <w:t>]</w:t>
      </w:r>
      <w:r>
        <w:fldChar w:fldCharType="end"/>
      </w:r>
      <w:r>
        <w:t>.  For non-vertical wellbores, the deflection of the casing must be considered when determining the centralizer spacing.  For bow-spring centralizers, the displacement caused by lateral loading should also be included in the analysis.</w:t>
      </w:r>
    </w:p>
    <w:p w:rsidR="00562BF0" w:rsidRDefault="00562BF0" w:rsidP="00562BF0">
      <w:r>
        <w:t xml:space="preserve">Centralizers are positioned to maintain separation between the wellbore and casing.  Methods for estimating centralizer placement are outlined in API RP 10D-2.  The standoff ratio is a common metric for specifying the minimum requirements for a centralizer.  </w:t>
      </w:r>
      <w:r w:rsidR="00CA61F3">
        <w:t xml:space="preserve">It is the ratio of standoff provided by the centralizer to annular clearance for perfectly centered casing. </w:t>
      </w:r>
      <w:r w:rsidR="007B5179">
        <w:t xml:space="preserve"> </w:t>
      </w:r>
      <w:r>
        <w:t xml:space="preserve">For casing centralization, there is no recommendation or requirement for a specific standoff ratio.  For bow-spring centralizers, the standoff ratio of 67% is used in specifying the minimum performance.  It is not meant to define the minimum required standoff for adequate centralization of the casing.  The final decision for standoff ratio should be decided based on well requirements and engineering judgment </w:t>
      </w:r>
      <w:r>
        <w:fldChar w:fldCharType="begin"/>
      </w:r>
      <w:r w:rsidR="00817F40">
        <w:instrText xml:space="preserve"> ADDIN EN.CITE &lt;EndNote&gt;&lt;Cite ExcludeYear="1"&gt;&lt;Author&gt;API&lt;/Author&gt;&lt;Year&gt;2010&lt;/Year&gt;&lt;RecNum&gt;430&lt;/RecNum&gt;&lt;DisplayText&gt;[27]&lt;/DisplayText&gt;&lt;record&gt;&lt;rec-number&gt;430&lt;/rec-number&gt;&lt;foreign-keys&gt;&lt;key app="EN" db-id="rwzxp2sses9f5deexw8xe0tjf5f2wep0epv9"&gt;430&lt;/key&gt;&lt;/foreign-keys&gt;&lt;ref-type name="Standard"&gt;58&lt;/ref-type&gt;&lt;contributors&gt;&lt;authors&gt;&lt;author&gt;API&lt;/author&gt;&lt;/authors&gt;&lt;/contributors&gt;&lt;titles&gt;&lt;title&gt;API RP 10D-2 Recommended Practice for Centralizer Placement and Stop-collar Testing&lt;/title&gt;&lt;/titles&gt;&lt;volume&gt;API RP 10D-2&lt;/volume&gt;&lt;dates&gt;&lt;year&gt;2010&lt;/year&gt;&lt;/dates&gt;&lt;pub-location&gt;Washington, DC&lt;/pub-location&gt;&lt;publisher&gt;American Petroleum Institute&lt;/publisher&gt;&lt;urls&gt;&lt;/urls&gt;&lt;/record&gt;&lt;/Cite&gt;&lt;/EndNote&gt;</w:instrText>
      </w:r>
      <w:r>
        <w:fldChar w:fldCharType="separate"/>
      </w:r>
      <w:r w:rsidR="00817F40">
        <w:rPr>
          <w:noProof/>
        </w:rPr>
        <w:t>[</w:t>
      </w:r>
      <w:hyperlink w:anchor="_ENREF_27" w:tooltip="API, 2010 #430" w:history="1">
        <w:r w:rsidR="00817F40">
          <w:rPr>
            <w:noProof/>
          </w:rPr>
          <w:t>27</w:t>
        </w:r>
      </w:hyperlink>
      <w:r w:rsidR="00817F40">
        <w:rPr>
          <w:noProof/>
        </w:rPr>
        <w:t>]</w:t>
      </w:r>
      <w:r>
        <w:fldChar w:fldCharType="end"/>
      </w:r>
      <w:r>
        <w:t>.</w:t>
      </w:r>
      <w:r w:rsidR="00144E1D">
        <w:t xml:space="preserve">  The calculation for determining the standoff ratio is provided below.</w:t>
      </w:r>
      <w:r>
        <w:t xml:space="preserve">  </w:t>
      </w:r>
    </w:p>
    <w:p w:rsidR="00562BF0" w:rsidRDefault="00562BF0" w:rsidP="00562BF0">
      <w:r w:rsidRPr="00AF4872">
        <w:rPr>
          <w:noProof/>
        </w:rPr>
        <w:drawing>
          <wp:inline distT="0" distB="0" distL="0" distR="0" wp14:anchorId="61CC4157" wp14:editId="73F39A4B">
            <wp:extent cx="5943600" cy="1624928"/>
            <wp:effectExtent l="19050" t="19050" r="1905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624928"/>
                    </a:xfrm>
                    <a:prstGeom prst="rect">
                      <a:avLst/>
                    </a:prstGeom>
                    <a:noFill/>
                    <a:ln>
                      <a:solidFill>
                        <a:schemeClr val="tx2"/>
                      </a:solid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
        <w:gridCol w:w="2677"/>
      </w:tblGrid>
      <w:tr w:rsidR="00562BF0" w:rsidTr="000536AF">
        <w:trPr>
          <w:jc w:val="center"/>
        </w:trPr>
        <w:tc>
          <w:tcPr>
            <w:tcW w:w="0" w:type="auto"/>
          </w:tcPr>
          <w:p w:rsidR="00562BF0" w:rsidRDefault="00562BF0" w:rsidP="000536AF">
            <w:bookmarkStart w:id="21" w:name="_Ref378336013"/>
            <w:r>
              <w:sym w:font="Symbol" w:char="F064"/>
            </w:r>
          </w:p>
        </w:tc>
        <w:tc>
          <w:tcPr>
            <w:tcW w:w="0" w:type="auto"/>
          </w:tcPr>
          <w:p w:rsidR="00562BF0" w:rsidRDefault="00562BF0" w:rsidP="000536AF">
            <w:r>
              <w:t>Maximum casing deflection</w:t>
            </w:r>
          </w:p>
        </w:tc>
      </w:tr>
      <w:tr w:rsidR="00562BF0" w:rsidTr="000536AF">
        <w:trPr>
          <w:jc w:val="center"/>
        </w:trPr>
        <w:tc>
          <w:tcPr>
            <w:tcW w:w="0" w:type="auto"/>
          </w:tcPr>
          <w:p w:rsidR="00562BF0" w:rsidRPr="00AF4872" w:rsidRDefault="00562BF0" w:rsidP="000536AF">
            <w:pPr>
              <w:rPr>
                <w:vertAlign w:val="subscript"/>
              </w:rPr>
            </w:pPr>
            <w:proofErr w:type="spellStart"/>
            <w:r>
              <w:t>D</w:t>
            </w:r>
            <w:r>
              <w:rPr>
                <w:vertAlign w:val="subscript"/>
              </w:rPr>
              <w:t>p</w:t>
            </w:r>
            <w:proofErr w:type="spellEnd"/>
          </w:p>
        </w:tc>
        <w:tc>
          <w:tcPr>
            <w:tcW w:w="0" w:type="auto"/>
          </w:tcPr>
          <w:p w:rsidR="00562BF0" w:rsidRDefault="00562BF0" w:rsidP="000536AF">
            <w:r>
              <w:t>Casing outside diameter</w:t>
            </w:r>
          </w:p>
        </w:tc>
      </w:tr>
      <w:tr w:rsidR="00562BF0" w:rsidTr="000536AF">
        <w:trPr>
          <w:jc w:val="center"/>
        </w:trPr>
        <w:tc>
          <w:tcPr>
            <w:tcW w:w="0" w:type="auto"/>
          </w:tcPr>
          <w:p w:rsidR="00562BF0" w:rsidRPr="00AF4872" w:rsidRDefault="00562BF0" w:rsidP="000536AF">
            <w:pPr>
              <w:jc w:val="both"/>
              <w:rPr>
                <w:vertAlign w:val="subscript"/>
              </w:rPr>
            </w:pPr>
            <w:proofErr w:type="spellStart"/>
            <w:r>
              <w:t>D</w:t>
            </w:r>
            <w:r>
              <w:rPr>
                <w:vertAlign w:val="subscript"/>
              </w:rPr>
              <w:t>w</w:t>
            </w:r>
            <w:proofErr w:type="spellEnd"/>
          </w:p>
        </w:tc>
        <w:tc>
          <w:tcPr>
            <w:tcW w:w="0" w:type="auto"/>
          </w:tcPr>
          <w:p w:rsidR="00562BF0" w:rsidRDefault="00562BF0" w:rsidP="000536AF">
            <w:r>
              <w:t>Wellbore diameter</w:t>
            </w:r>
          </w:p>
        </w:tc>
      </w:tr>
      <w:tr w:rsidR="00562BF0" w:rsidTr="000536AF">
        <w:trPr>
          <w:jc w:val="center"/>
        </w:trPr>
        <w:tc>
          <w:tcPr>
            <w:tcW w:w="0" w:type="auto"/>
          </w:tcPr>
          <w:p w:rsidR="00562BF0" w:rsidRPr="00AF4872" w:rsidRDefault="00562BF0" w:rsidP="000536AF">
            <w:pPr>
              <w:rPr>
                <w:vertAlign w:val="subscript"/>
              </w:rPr>
            </w:pPr>
            <w:proofErr w:type="spellStart"/>
            <w:r>
              <w:t>S</w:t>
            </w:r>
            <w:r>
              <w:rPr>
                <w:vertAlign w:val="subscript"/>
              </w:rPr>
              <w:t>c</w:t>
            </w:r>
            <w:proofErr w:type="spellEnd"/>
          </w:p>
        </w:tc>
        <w:tc>
          <w:tcPr>
            <w:tcW w:w="0" w:type="auto"/>
          </w:tcPr>
          <w:p w:rsidR="00562BF0" w:rsidRDefault="00562BF0" w:rsidP="000536AF">
            <w:r>
              <w:t>Standoff at the centralizer</w:t>
            </w:r>
          </w:p>
        </w:tc>
      </w:tr>
      <w:tr w:rsidR="00562BF0" w:rsidTr="000536AF">
        <w:trPr>
          <w:jc w:val="center"/>
        </w:trPr>
        <w:tc>
          <w:tcPr>
            <w:tcW w:w="0" w:type="auto"/>
          </w:tcPr>
          <w:p w:rsidR="00562BF0" w:rsidRPr="00AF4872" w:rsidRDefault="00562BF0" w:rsidP="000536AF">
            <w:pPr>
              <w:jc w:val="both"/>
              <w:rPr>
                <w:vertAlign w:val="subscript"/>
              </w:rPr>
            </w:pPr>
            <w:proofErr w:type="spellStart"/>
            <w:r>
              <w:t>S</w:t>
            </w:r>
            <w:r>
              <w:rPr>
                <w:vertAlign w:val="subscript"/>
              </w:rPr>
              <w:t>s</w:t>
            </w:r>
            <w:proofErr w:type="spellEnd"/>
          </w:p>
        </w:tc>
        <w:tc>
          <w:tcPr>
            <w:tcW w:w="0" w:type="auto"/>
          </w:tcPr>
          <w:p w:rsidR="00562BF0" w:rsidRDefault="00562BF0" w:rsidP="000536AF">
            <w:r>
              <w:t>Standoff at the sag point</w:t>
            </w:r>
          </w:p>
        </w:tc>
      </w:tr>
    </w:tbl>
    <w:p w:rsidR="00562BF0" w:rsidRDefault="00562BF0" w:rsidP="00562BF0">
      <w:pPr>
        <w:pStyle w:val="Caption"/>
      </w:pPr>
    </w:p>
    <w:p w:rsidR="00562BF0" w:rsidRDefault="00562BF0" w:rsidP="00562BF0">
      <w:pPr>
        <w:pStyle w:val="Caption"/>
      </w:pPr>
      <w:bookmarkStart w:id="22" w:name="_Ref379379831"/>
      <w:proofErr w:type="gramStart"/>
      <w:r>
        <w:t xml:space="preserve">Figure </w:t>
      </w:r>
      <w:r w:rsidR="00D14AFE">
        <w:fldChar w:fldCharType="begin"/>
      </w:r>
      <w:r w:rsidR="00D14AFE">
        <w:instrText xml:space="preserve"> SEQ Figure \* ARABIC </w:instrText>
      </w:r>
      <w:r w:rsidR="00D14AFE">
        <w:fldChar w:fldCharType="separate"/>
      </w:r>
      <w:r w:rsidR="003129FA">
        <w:rPr>
          <w:noProof/>
        </w:rPr>
        <w:t>16</w:t>
      </w:r>
      <w:r w:rsidR="00D14AFE">
        <w:rPr>
          <w:noProof/>
        </w:rPr>
        <w:fldChar w:fldCharType="end"/>
      </w:r>
      <w:bookmarkEnd w:id="21"/>
      <w:bookmarkEnd w:id="22"/>
      <w:r>
        <w:t>.</w:t>
      </w:r>
      <w:proofErr w:type="gramEnd"/>
      <w:r>
        <w:t xml:space="preserve">  Calculation of casing standoff in a wellbore</w:t>
      </w:r>
    </w:p>
    <w:p w:rsidR="00562BF0" w:rsidRDefault="00562BF0" w:rsidP="00562BF0">
      <w:r>
        <w:t xml:space="preserve">For perfectly centered casing, the annular clearance </w:t>
      </w:r>
      <w:r>
        <w:rPr>
          <w:i/>
        </w:rPr>
        <w:t>l</w:t>
      </w:r>
      <w:r>
        <w:rPr>
          <w:i/>
          <w:vertAlign w:val="subscript"/>
        </w:rPr>
        <w:t>a</w:t>
      </w:r>
      <w:r>
        <w:t xml:space="preserve"> is given by </w:t>
      </w:r>
    </w:p>
    <w:p w:rsidR="00562BF0" w:rsidRPr="002E19D2" w:rsidRDefault="00562BF0" w:rsidP="00562BF0">
      <w:pPr>
        <w:pStyle w:val="MTDisplayEquation"/>
      </w:pPr>
      <w:r>
        <w:tab/>
      </w:r>
      <w:r w:rsidRPr="002E19D2">
        <w:rPr>
          <w:position w:val="-24"/>
        </w:rPr>
        <w:object w:dxaOrig="13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5pt;height:32.55pt" o:ole="">
            <v:imagedata r:id="rId27" o:title=""/>
          </v:shape>
          <o:OLEObject Type="Embed" ProgID="Equation.DSMT4" ShapeID="_x0000_i1025" DrawAspect="Content" ObjectID="_1459259841" r:id="rId28"/>
        </w:object>
      </w:r>
      <w:r>
        <w:t xml:space="preserve"> </w:t>
      </w:r>
      <w:r>
        <w:tab/>
      </w:r>
      <w:r w:rsidR="00D01CB1">
        <w:t xml:space="preserve"> </w:t>
      </w:r>
      <w:r w:rsidR="00AC7F38">
        <w:fldChar w:fldCharType="begin"/>
      </w:r>
      <w:r w:rsidR="00AC7F38">
        <w:instrText xml:space="preserve"> MACROBUTTON MTPlaceRef \* MERGEFORMAT </w:instrText>
      </w:r>
      <w:r w:rsidR="00D14AFE">
        <w:fldChar w:fldCharType="begin"/>
      </w:r>
      <w:r w:rsidR="00D14AFE">
        <w:instrText xml:space="preserve"> SEQ MTEqn \h \* MERGEFORMAT </w:instrText>
      </w:r>
      <w:r w:rsidR="00D14AFE">
        <w:fldChar w:fldCharType="separate"/>
      </w:r>
      <w:r w:rsidR="00D14AFE">
        <w:fldChar w:fldCharType="end"/>
      </w:r>
      <w:r w:rsidR="00AC7F38">
        <w:instrText>(</w:instrText>
      </w:r>
      <w:r w:rsidR="00D14AFE">
        <w:fldChar w:fldCharType="begin"/>
      </w:r>
      <w:r w:rsidR="00D14AFE">
        <w:instrText xml:space="preserve"> SEQ MTEqn \c \* Arabic \* MERGEFORMAT </w:instrText>
      </w:r>
      <w:r w:rsidR="00D14AFE">
        <w:fldChar w:fldCharType="separate"/>
      </w:r>
      <w:r w:rsidR="003129FA">
        <w:rPr>
          <w:noProof/>
        </w:rPr>
        <w:instrText>1</w:instrText>
      </w:r>
      <w:r w:rsidR="00D14AFE">
        <w:rPr>
          <w:noProof/>
        </w:rPr>
        <w:fldChar w:fldCharType="end"/>
      </w:r>
      <w:r w:rsidR="00AC7F38">
        <w:instrText>)</w:instrText>
      </w:r>
      <w:r w:rsidR="00AC7F38">
        <w:fldChar w:fldCharType="end"/>
      </w:r>
    </w:p>
    <w:p w:rsidR="00562BF0" w:rsidRDefault="00562BF0" w:rsidP="00562BF0">
      <w:proofErr w:type="gramStart"/>
      <w:r>
        <w:lastRenderedPageBreak/>
        <w:t>where</w:t>
      </w:r>
      <w:proofErr w:type="gramEnd"/>
      <w:r>
        <w:t xml:space="preserve"> </w:t>
      </w:r>
      <w:proofErr w:type="spellStart"/>
      <w:r w:rsidRPr="00616E67">
        <w:rPr>
          <w:i/>
        </w:rPr>
        <w:t>D</w:t>
      </w:r>
      <w:r w:rsidRPr="00616E67">
        <w:rPr>
          <w:i/>
          <w:vertAlign w:val="subscript"/>
        </w:rPr>
        <w:t>w</w:t>
      </w:r>
      <w:proofErr w:type="spellEnd"/>
      <w:r>
        <w:t xml:space="preserve"> is the wellbore diameter and </w:t>
      </w:r>
      <w:proofErr w:type="spellStart"/>
      <w:r w:rsidRPr="00616E67">
        <w:rPr>
          <w:i/>
        </w:rPr>
        <w:t>D</w:t>
      </w:r>
      <w:r w:rsidRPr="00616E67">
        <w:rPr>
          <w:i/>
          <w:vertAlign w:val="subscript"/>
        </w:rPr>
        <w:t>p</w:t>
      </w:r>
      <w:proofErr w:type="spellEnd"/>
      <w:r>
        <w:t xml:space="preserve"> is the casing outside diameter.  The standoff at the centralizer is indicated by </w:t>
      </w:r>
      <w:proofErr w:type="spellStart"/>
      <w:r w:rsidRPr="00616E67">
        <w:rPr>
          <w:i/>
        </w:rPr>
        <w:t>S</w:t>
      </w:r>
      <w:r w:rsidRPr="00616E67">
        <w:rPr>
          <w:i/>
          <w:vertAlign w:val="subscript"/>
        </w:rPr>
        <w:t>c</w:t>
      </w:r>
      <w:proofErr w:type="spellEnd"/>
      <w:r>
        <w:t xml:space="preserve"> in</w:t>
      </w:r>
      <w:r w:rsidR="00D23335">
        <w:t xml:space="preserve"> </w:t>
      </w:r>
      <w:r w:rsidR="00D23335">
        <w:fldChar w:fldCharType="begin"/>
      </w:r>
      <w:r w:rsidR="00D23335">
        <w:instrText xml:space="preserve"> REF _Ref379379831 \h </w:instrText>
      </w:r>
      <w:r w:rsidR="00D23335">
        <w:fldChar w:fldCharType="separate"/>
      </w:r>
      <w:r w:rsidR="003129FA">
        <w:t xml:space="preserve">Figure </w:t>
      </w:r>
      <w:r w:rsidR="003129FA">
        <w:rPr>
          <w:noProof/>
        </w:rPr>
        <w:t>16</w:t>
      </w:r>
      <w:r w:rsidR="00D23335">
        <w:fldChar w:fldCharType="end"/>
      </w:r>
      <w:r w:rsidR="00D23335">
        <w:t xml:space="preserve">.  </w:t>
      </w:r>
      <w:r>
        <w:t xml:space="preserve">For a bow-spring centralizer, the standoff is given by the load-deflection curve of the centralizer tested in a </w:t>
      </w:r>
      <w:r w:rsidR="006A682A">
        <w:t xml:space="preserve">particular </w:t>
      </w:r>
      <w:proofErr w:type="gramStart"/>
      <w:r>
        <w:t>hole</w:t>
      </w:r>
      <w:proofErr w:type="gramEnd"/>
      <w:r>
        <w:t xml:space="preserve"> size </w:t>
      </w:r>
      <w:r w:rsidR="006A682A">
        <w:t>and an</w:t>
      </w:r>
      <w:r>
        <w:t xml:space="preserve"> applied lateral load.  This information is typically </w:t>
      </w:r>
      <w:r w:rsidR="00F242FA">
        <w:t xml:space="preserve">provided </w:t>
      </w:r>
      <w:r>
        <w:t>in the centralizer specifications.</w:t>
      </w:r>
      <w:r w:rsidR="006A682A">
        <w:t xml:space="preserve">  </w:t>
      </w:r>
      <w:r>
        <w:t xml:space="preserve">For a rigid centralizer, the standoff is determined by </w:t>
      </w:r>
    </w:p>
    <w:p w:rsidR="00562BF0" w:rsidRDefault="00562BF0" w:rsidP="00562BF0">
      <w:pPr>
        <w:pStyle w:val="MTDisplayEquation"/>
      </w:pPr>
      <w:r>
        <w:tab/>
      </w:r>
      <w:r w:rsidRPr="00316F3B">
        <w:rPr>
          <w:position w:val="-24"/>
        </w:rPr>
        <w:object w:dxaOrig="1359" w:dyaOrig="660">
          <v:shape id="_x0000_i1026" type="#_x0000_t75" style="width:67.75pt;height:32.55pt" o:ole="">
            <v:imagedata r:id="rId29" o:title=""/>
          </v:shape>
          <o:OLEObject Type="Embed" ProgID="Equation.DSMT4" ShapeID="_x0000_i1026" DrawAspect="Content" ObjectID="_1459259842" r:id="rId30"/>
        </w:object>
      </w:r>
      <w:r>
        <w:t xml:space="preserve"> </w:t>
      </w:r>
      <w:r>
        <w:tab/>
      </w:r>
      <w:r w:rsidR="00AC7F38">
        <w:fldChar w:fldCharType="begin"/>
      </w:r>
      <w:r w:rsidR="00AC7F38">
        <w:instrText xml:space="preserve"> MACROBUTTON MTPlaceRef \* MERGEFORMAT </w:instrText>
      </w:r>
      <w:r w:rsidR="00D14AFE">
        <w:fldChar w:fldCharType="begin"/>
      </w:r>
      <w:r w:rsidR="00D14AFE">
        <w:instrText xml:space="preserve"> SEQ MTEqn \h \* MERGEFORMAT </w:instrText>
      </w:r>
      <w:r w:rsidR="00D14AFE">
        <w:fldChar w:fldCharType="separate"/>
      </w:r>
      <w:r w:rsidR="00D14AFE">
        <w:fldChar w:fldCharType="end"/>
      </w:r>
      <w:r w:rsidR="00AC7F38">
        <w:instrText>(</w:instrText>
      </w:r>
      <w:r w:rsidR="00D14AFE">
        <w:fldChar w:fldCharType="begin"/>
      </w:r>
      <w:r w:rsidR="00D14AFE">
        <w:instrText xml:space="preserve"> SEQ MTEqn \c \* Arabic \* MERGEFORMAT </w:instrText>
      </w:r>
      <w:r w:rsidR="00D14AFE">
        <w:fldChar w:fldCharType="separate"/>
      </w:r>
      <w:r w:rsidR="003129FA">
        <w:rPr>
          <w:noProof/>
        </w:rPr>
        <w:instrText>2</w:instrText>
      </w:r>
      <w:r w:rsidR="00D14AFE">
        <w:rPr>
          <w:noProof/>
        </w:rPr>
        <w:fldChar w:fldCharType="end"/>
      </w:r>
      <w:r w:rsidR="00AC7F38">
        <w:instrText>)</w:instrText>
      </w:r>
      <w:r w:rsidR="00AC7F38">
        <w:fldChar w:fldCharType="end"/>
      </w:r>
    </w:p>
    <w:p w:rsidR="00562BF0" w:rsidRDefault="00753A03" w:rsidP="00562BF0">
      <w:proofErr w:type="gramStart"/>
      <w:r>
        <w:t>where</w:t>
      </w:r>
      <w:proofErr w:type="gramEnd"/>
      <w:r>
        <w:t xml:space="preserve"> </w:t>
      </w:r>
      <w:r w:rsidRPr="00CA61F3">
        <w:rPr>
          <w:i/>
        </w:rPr>
        <w:t>D</w:t>
      </w:r>
      <w:r w:rsidRPr="00CA61F3">
        <w:rPr>
          <w:i/>
          <w:vertAlign w:val="subscript"/>
        </w:rPr>
        <w:t>c</w:t>
      </w:r>
      <w:r>
        <w:t xml:space="preserve"> is the outside diameter of the centralizer.  </w:t>
      </w:r>
      <w:r w:rsidR="00562BF0">
        <w:t xml:space="preserve">The standoff at the sag point </w:t>
      </w:r>
      <w:proofErr w:type="spellStart"/>
      <w:r w:rsidR="00562BF0">
        <w:t>S</w:t>
      </w:r>
      <w:r w:rsidR="00562BF0">
        <w:rPr>
          <w:vertAlign w:val="subscript"/>
        </w:rPr>
        <w:t>s</w:t>
      </w:r>
      <w:proofErr w:type="spellEnd"/>
      <w:r w:rsidR="00562BF0">
        <w:t xml:space="preserve"> is then given by</w:t>
      </w:r>
    </w:p>
    <w:p w:rsidR="00562BF0" w:rsidRPr="00316F3B" w:rsidRDefault="00562BF0" w:rsidP="00562BF0">
      <w:pPr>
        <w:pStyle w:val="MTDisplayEquation"/>
      </w:pPr>
      <w:r>
        <w:tab/>
      </w:r>
      <w:r w:rsidRPr="00316F3B">
        <w:rPr>
          <w:position w:val="-12"/>
        </w:rPr>
        <w:object w:dxaOrig="1120" w:dyaOrig="360">
          <v:shape id="_x0000_i1027" type="#_x0000_t75" style="width:56.55pt;height:18.15pt" o:ole="">
            <v:imagedata r:id="rId31" o:title=""/>
          </v:shape>
          <o:OLEObject Type="Embed" ProgID="Equation.DSMT4" ShapeID="_x0000_i1027" DrawAspect="Content" ObjectID="_1459259843" r:id="rId32"/>
        </w:object>
      </w:r>
      <w:r>
        <w:t xml:space="preserve"> </w:t>
      </w:r>
      <w:r>
        <w:tab/>
      </w:r>
      <w:r w:rsidR="00AC7F38">
        <w:fldChar w:fldCharType="begin"/>
      </w:r>
      <w:r w:rsidR="00AC7F38">
        <w:instrText xml:space="preserve"> MACROBUTTON MTPlaceRef \* MERGEFORMAT </w:instrText>
      </w:r>
      <w:r w:rsidR="00D14AFE">
        <w:fldChar w:fldCharType="begin"/>
      </w:r>
      <w:r w:rsidR="00D14AFE">
        <w:instrText xml:space="preserve"> SEQ MTEqn \h \* MERGEFORMAT </w:instrText>
      </w:r>
      <w:r w:rsidR="00D14AFE">
        <w:fldChar w:fldCharType="separate"/>
      </w:r>
      <w:r w:rsidR="00D14AFE">
        <w:fldChar w:fldCharType="end"/>
      </w:r>
      <w:r w:rsidR="00AC7F38">
        <w:instrText>(</w:instrText>
      </w:r>
      <w:r w:rsidR="00D14AFE">
        <w:fldChar w:fldCharType="begin"/>
      </w:r>
      <w:r w:rsidR="00D14AFE">
        <w:instrText xml:space="preserve"> SEQ</w:instrText>
      </w:r>
      <w:r w:rsidR="00D14AFE">
        <w:instrText xml:space="preserve"> MTEqn \c \* Arabic \* MERGEFORMAT </w:instrText>
      </w:r>
      <w:r w:rsidR="00D14AFE">
        <w:fldChar w:fldCharType="separate"/>
      </w:r>
      <w:r w:rsidR="003129FA">
        <w:rPr>
          <w:noProof/>
        </w:rPr>
        <w:instrText>3</w:instrText>
      </w:r>
      <w:r w:rsidR="00D14AFE">
        <w:rPr>
          <w:noProof/>
        </w:rPr>
        <w:fldChar w:fldCharType="end"/>
      </w:r>
      <w:r w:rsidR="00AC7F38">
        <w:instrText>)</w:instrText>
      </w:r>
      <w:r w:rsidR="00AC7F38">
        <w:fldChar w:fldCharType="end"/>
      </w:r>
    </w:p>
    <w:p w:rsidR="00562BF0" w:rsidRDefault="00562BF0" w:rsidP="00562BF0">
      <w:pPr>
        <w:pStyle w:val="MTDisplayEquation"/>
        <w:jc w:val="both"/>
      </w:pPr>
      <w:proofErr w:type="gramStart"/>
      <w:r>
        <w:t>where</w:t>
      </w:r>
      <w:proofErr w:type="gramEnd"/>
      <w:r>
        <w:t xml:space="preserve"> </w:t>
      </w:r>
      <w:proofErr w:type="spellStart"/>
      <w:r w:rsidRPr="00527A84">
        <w:rPr>
          <w:i/>
        </w:rPr>
        <w:t>S</w:t>
      </w:r>
      <w:r w:rsidRPr="00527A84">
        <w:rPr>
          <w:i/>
          <w:vertAlign w:val="subscript"/>
        </w:rPr>
        <w:t>s</w:t>
      </w:r>
      <w:proofErr w:type="spellEnd"/>
      <w:r>
        <w:t xml:space="preserve"> is the standoff at the sag point and </w:t>
      </w:r>
      <w:r w:rsidRPr="00527A84">
        <w:rPr>
          <w:i/>
        </w:rPr>
        <w:sym w:font="Symbol" w:char="F064"/>
      </w:r>
      <w:r>
        <w:t xml:space="preserve"> is the maximum deflection of the casing between the centralizers.  </w:t>
      </w:r>
    </w:p>
    <w:p w:rsidR="00562BF0" w:rsidRDefault="00562BF0" w:rsidP="00562BF0">
      <w:r>
        <w:t xml:space="preserve">In practice, the minimum standoff may be located between the centralizers where </w:t>
      </w:r>
      <w:r w:rsidRPr="00527A84">
        <w:rPr>
          <w:i/>
        </w:rPr>
        <w:sym w:font="Symbol" w:char="F064"/>
      </w:r>
      <w:r>
        <w:t xml:space="preserve"> is the maximum or at the centralizers.  The standoff </w:t>
      </w:r>
      <w:r w:rsidRPr="00527A84">
        <w:rPr>
          <w:i/>
        </w:rPr>
        <w:t>S</w:t>
      </w:r>
      <w:r>
        <w:t xml:space="preserve"> of a section of casing is the minimum of the standoff at the centralizers or the standoff at the sag point.</w:t>
      </w:r>
    </w:p>
    <w:p w:rsidR="00562BF0" w:rsidRDefault="00562BF0" w:rsidP="00562BF0">
      <w:r>
        <w:t xml:space="preserve">The standoff ratio is then defined by </w:t>
      </w:r>
      <w:proofErr w:type="gramStart"/>
      <w:r>
        <w:t xml:space="preserve">Equation </w:t>
      </w:r>
      <w:proofErr w:type="gramEnd"/>
      <w:r>
        <w:fldChar w:fldCharType="begin"/>
      </w:r>
      <w:r>
        <w:instrText xml:space="preserve"> GOTOBUTTON ZEqnNum195083  \* MERGEFORMAT </w:instrText>
      </w:r>
      <w:r w:rsidR="00D14AFE">
        <w:fldChar w:fldCharType="begin"/>
      </w:r>
      <w:r w:rsidR="00D14AFE">
        <w:instrText xml:space="preserve"> </w:instrText>
      </w:r>
      <w:r w:rsidR="00D14AFE">
        <w:instrText xml:space="preserve">REF ZEqnNum195083 \* Charformat \! \* MERGEFORMAT </w:instrText>
      </w:r>
      <w:r w:rsidR="00D14AFE">
        <w:fldChar w:fldCharType="separate"/>
      </w:r>
      <w:r w:rsidR="003129FA">
        <w:instrText>(4)</w:instrText>
      </w:r>
      <w:r w:rsidR="00D14AFE">
        <w:fldChar w:fldCharType="end"/>
      </w:r>
      <w:r>
        <w:fldChar w:fldCharType="end"/>
      </w:r>
      <w:r>
        <w:t>.</w:t>
      </w:r>
    </w:p>
    <w:p w:rsidR="00562BF0" w:rsidRDefault="00562BF0" w:rsidP="00562BF0">
      <w:pPr>
        <w:pStyle w:val="MTDisplayEquation"/>
      </w:pPr>
      <w:r>
        <w:tab/>
      </w:r>
      <w:r w:rsidRPr="00527A84">
        <w:rPr>
          <w:position w:val="-30"/>
        </w:rPr>
        <w:object w:dxaOrig="1280" w:dyaOrig="680">
          <v:shape id="_x0000_i1028" type="#_x0000_t75" style="width:64.55pt;height:34.15pt" o:ole="">
            <v:imagedata r:id="rId33" o:title=""/>
          </v:shape>
          <o:OLEObject Type="Embed" ProgID="Equation.DSMT4" ShapeID="_x0000_i1028" DrawAspect="Content" ObjectID="_1459259844" r:id="rId34"/>
        </w:object>
      </w:r>
      <w:r>
        <w:t xml:space="preserve"> </w:t>
      </w:r>
      <w:r>
        <w:tab/>
      </w:r>
      <w:r w:rsidR="00AC7F38">
        <w:fldChar w:fldCharType="begin"/>
      </w:r>
      <w:r w:rsidR="00AC7F38">
        <w:instrText xml:space="preserve"> MACROBUTTON MTPlaceRef \* MERGEFORMAT </w:instrText>
      </w:r>
      <w:r w:rsidR="00D14AFE">
        <w:fldChar w:fldCharType="begin"/>
      </w:r>
      <w:r w:rsidR="00D14AFE">
        <w:instrText xml:space="preserve"> SEQ MTEqn \h \* MERGEFORMAT </w:instrText>
      </w:r>
      <w:r w:rsidR="00D14AFE">
        <w:fldChar w:fldCharType="separate"/>
      </w:r>
      <w:r w:rsidR="00D14AFE">
        <w:fldChar w:fldCharType="end"/>
      </w:r>
      <w:bookmarkStart w:id="23" w:name="ZEqnNum195083"/>
      <w:r w:rsidR="00AC7F38">
        <w:instrText>(</w:instrText>
      </w:r>
      <w:r w:rsidR="00D14AFE">
        <w:fldChar w:fldCharType="begin"/>
      </w:r>
      <w:r w:rsidR="00D14AFE">
        <w:instrText xml:space="preserve"> SEQ MTEqn \c \* Arabic \* MERGEFORMAT </w:instrText>
      </w:r>
      <w:r w:rsidR="00D14AFE">
        <w:fldChar w:fldCharType="separate"/>
      </w:r>
      <w:r w:rsidR="003129FA">
        <w:rPr>
          <w:noProof/>
        </w:rPr>
        <w:instrText>4</w:instrText>
      </w:r>
      <w:r w:rsidR="00D14AFE">
        <w:rPr>
          <w:noProof/>
        </w:rPr>
        <w:fldChar w:fldCharType="end"/>
      </w:r>
      <w:r w:rsidR="00AC7F38">
        <w:instrText>)</w:instrText>
      </w:r>
      <w:bookmarkEnd w:id="23"/>
      <w:r w:rsidR="00AC7F38">
        <w:fldChar w:fldCharType="end"/>
      </w:r>
    </w:p>
    <w:p w:rsidR="00562BF0" w:rsidRDefault="00144E1D" w:rsidP="00562BF0">
      <w:r>
        <w:t xml:space="preserve">Changes in inclination angle or other factors such as tension in the casing have an impact on standoff requirements and centralizer placement.  </w:t>
      </w:r>
      <w:r w:rsidR="00562BF0">
        <w:t>The deflection of the casing in the wellbore depends on the</w:t>
      </w:r>
      <w:r w:rsidR="00860B54">
        <w:t>se</w:t>
      </w:r>
      <w:r w:rsidR="00562BF0">
        <w:t xml:space="preserve"> loading conditions.  Based on beam theory, deflections for common loading scenarios have been derived and captured in the literature </w:t>
      </w:r>
      <w:r w:rsidR="00562BF0">
        <w:fldChar w:fldCharType="begin"/>
      </w:r>
      <w:r w:rsidR="00817F40">
        <w:instrText xml:space="preserve"> ADDIN EN.CITE &lt;EndNote&gt;&lt;Cite&gt;&lt;Author&gt;Juvkam-Wold&lt;/Author&gt;&lt;Year&gt;1992&lt;/Year&gt;&lt;RecNum&gt;410&lt;/RecNum&gt;&lt;DisplayText&gt;[25, 27]&lt;/DisplayText&gt;&lt;record&gt;&lt;rec-number&gt;410&lt;/rec-number&gt;&lt;foreign-keys&gt;&lt;key app="EN" db-id="rwzxp2sses9f5deexw8xe0tjf5f2wep0epv9"&gt;410&lt;/key&gt;&lt;/foreign-keys&gt;&lt;ref-type name="Journal Article"&gt;17&lt;/ref-type&gt;&lt;contributors&gt;&lt;authors&gt;&lt;author&gt;Juvkam-Wold, H. C.&lt;/author&gt;&lt;author&gt;Wu, Jiang&lt;/author&gt;&lt;/authors&gt;&lt;/contributors&gt;&lt;titles&gt;&lt;title&gt;Casing Deflection and Centralizer Spacing Calculations&lt;/title&gt;&lt;secondary-title&gt;SPE Drilling Engineering&lt;/secondary-title&gt;&lt;short-title&gt;SPE-21282-PA&lt;/short-title&gt;&lt;/titles&gt;&lt;periodical&gt;&lt;full-title&gt;SPE Drilling Engineering&lt;/full-title&gt;&lt;/periodical&gt;&lt;pages&gt;268-274&lt;/pages&gt;&lt;volume&gt;7&lt;/volume&gt;&lt;number&gt;04&lt;/number&gt;&lt;dates&gt;&lt;year&gt;1992&lt;/year&gt;&lt;/dates&gt;&lt;isbn&gt;0885-9744&lt;/isbn&gt;&lt;urls&gt;&lt;/urls&gt;&lt;/record&gt;&lt;/Cite&gt;&lt;Cite ExcludeYear="1"&gt;&lt;Author&gt;API&lt;/Author&gt;&lt;Year&gt;2010&lt;/Year&gt;&lt;RecNum&gt;430&lt;/RecNum&gt;&lt;record&gt;&lt;rec-number&gt;430&lt;/rec-number&gt;&lt;foreign-keys&gt;&lt;key app="EN" db-id="rwzxp2sses9f5deexw8xe0tjf5f2wep0epv9"&gt;430&lt;/key&gt;&lt;/foreign-keys&gt;&lt;ref-type name="Standard"&gt;58&lt;/ref-type&gt;&lt;contributors&gt;&lt;authors&gt;&lt;author&gt;API&lt;/author&gt;&lt;/authors&gt;&lt;/contributors&gt;&lt;titles&gt;&lt;title&gt;API RP 10D-2 Recommended Practice for Centralizer Placement and Stop-collar Testing&lt;/title&gt;&lt;/titles&gt;&lt;volume&gt;API RP 10D-2&lt;/volume&gt;&lt;dates&gt;&lt;year&gt;2010&lt;/year&gt;&lt;/dates&gt;&lt;pub-location&gt;Washington, DC&lt;/pub-location&gt;&lt;publisher&gt;American Petroleum Institute&lt;/publisher&gt;&lt;urls&gt;&lt;/urls&gt;&lt;/record&gt;&lt;/Cite&gt;&lt;/EndNote&gt;</w:instrText>
      </w:r>
      <w:r w:rsidR="00562BF0">
        <w:fldChar w:fldCharType="separate"/>
      </w:r>
      <w:r w:rsidR="00817F40">
        <w:rPr>
          <w:noProof/>
        </w:rPr>
        <w:t>[</w:t>
      </w:r>
      <w:hyperlink w:anchor="_ENREF_25" w:tooltip="Juvkam-Wold, 1992 #410" w:history="1">
        <w:r w:rsidR="00817F40">
          <w:rPr>
            <w:noProof/>
          </w:rPr>
          <w:t>25</w:t>
        </w:r>
      </w:hyperlink>
      <w:r w:rsidR="00817F40">
        <w:rPr>
          <w:noProof/>
        </w:rPr>
        <w:t xml:space="preserve">, </w:t>
      </w:r>
      <w:hyperlink w:anchor="_ENREF_27" w:tooltip="API, 2010 #430" w:history="1">
        <w:r w:rsidR="00817F40">
          <w:rPr>
            <w:noProof/>
          </w:rPr>
          <w:t>27</w:t>
        </w:r>
      </w:hyperlink>
      <w:r w:rsidR="00817F40">
        <w:rPr>
          <w:noProof/>
        </w:rPr>
        <w:t>]</w:t>
      </w:r>
      <w:r w:rsidR="00562BF0">
        <w:fldChar w:fldCharType="end"/>
      </w:r>
      <w:r w:rsidR="00562BF0">
        <w:t xml:space="preserve">.  The various deflections are </w:t>
      </w:r>
      <w:r w:rsidR="00D23335">
        <w:t xml:space="preserve">listed </w:t>
      </w:r>
      <w:r w:rsidR="00562BF0">
        <w:t xml:space="preserve">in </w:t>
      </w:r>
      <w:r w:rsidR="00562BF0">
        <w:fldChar w:fldCharType="begin"/>
      </w:r>
      <w:r w:rsidR="00562BF0">
        <w:instrText xml:space="preserve"> REF _Ref378576154 \h </w:instrText>
      </w:r>
      <w:r w:rsidR="00562BF0">
        <w:fldChar w:fldCharType="separate"/>
      </w:r>
      <w:r w:rsidR="003129FA">
        <w:t xml:space="preserve">Table </w:t>
      </w:r>
      <w:r w:rsidR="003129FA">
        <w:rPr>
          <w:noProof/>
        </w:rPr>
        <w:t>7</w:t>
      </w:r>
      <w:r w:rsidR="00562BF0">
        <w:fldChar w:fldCharType="end"/>
      </w:r>
      <w:r w:rsidR="00562BF0">
        <w:t>.</w:t>
      </w:r>
    </w:p>
    <w:p w:rsidR="00562BF0" w:rsidRDefault="00562BF0" w:rsidP="00562BF0">
      <w:pPr>
        <w:pStyle w:val="Caption"/>
      </w:pPr>
      <w:bookmarkStart w:id="24" w:name="_Ref378576154"/>
      <w:proofErr w:type="gramStart"/>
      <w:r>
        <w:t xml:space="preserve">Table </w:t>
      </w:r>
      <w:r w:rsidR="00D14AFE">
        <w:fldChar w:fldCharType="begin"/>
      </w:r>
      <w:r w:rsidR="00D14AFE">
        <w:instrText xml:space="preserve"> SEQ Table \* ARABIC </w:instrText>
      </w:r>
      <w:r w:rsidR="00D14AFE">
        <w:fldChar w:fldCharType="separate"/>
      </w:r>
      <w:r w:rsidR="003129FA">
        <w:rPr>
          <w:noProof/>
        </w:rPr>
        <w:t>7</w:t>
      </w:r>
      <w:r w:rsidR="00D14AFE">
        <w:rPr>
          <w:noProof/>
        </w:rPr>
        <w:fldChar w:fldCharType="end"/>
      </w:r>
      <w:bookmarkEnd w:id="24"/>
      <w:r>
        <w:t>.</w:t>
      </w:r>
      <w:proofErr w:type="gramEnd"/>
      <w:r>
        <w:t xml:space="preserve">  Casing Deflection based on Loading Conditions</w:t>
      </w:r>
    </w:p>
    <w:tbl>
      <w:tblPr>
        <w:tblStyle w:val="LightList-Accent1"/>
        <w:tblW w:w="0" w:type="auto"/>
        <w:tblLook w:val="04A0" w:firstRow="1" w:lastRow="0" w:firstColumn="1" w:lastColumn="0" w:noHBand="0" w:noVBand="1"/>
      </w:tblPr>
      <w:tblGrid>
        <w:gridCol w:w="3528"/>
        <w:gridCol w:w="6048"/>
      </w:tblGrid>
      <w:tr w:rsidR="00562BF0" w:rsidTr="000536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562BF0" w:rsidRDefault="00562BF0" w:rsidP="000536AF">
            <w:r>
              <w:t>Loading Condition</w:t>
            </w:r>
          </w:p>
        </w:tc>
        <w:tc>
          <w:tcPr>
            <w:tcW w:w="6048" w:type="dxa"/>
          </w:tcPr>
          <w:p w:rsidR="00562BF0" w:rsidRDefault="00562BF0" w:rsidP="000536AF">
            <w:pPr>
              <w:cnfStyle w:val="100000000000" w:firstRow="1" w:lastRow="0" w:firstColumn="0" w:lastColumn="0" w:oddVBand="0" w:evenVBand="0" w:oddHBand="0" w:evenHBand="0" w:firstRowFirstColumn="0" w:firstRowLastColumn="0" w:lastRowFirstColumn="0" w:lastRowLastColumn="0"/>
            </w:pPr>
            <w:r>
              <w:t>Maximum Casing Deflection</w:t>
            </w:r>
          </w:p>
        </w:tc>
      </w:tr>
      <w:tr w:rsidR="00562BF0" w:rsidTr="00053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562BF0" w:rsidRDefault="00562BF0" w:rsidP="000536AF">
            <w:r>
              <w:t>1D straight, inclined wellbore without axial tension</w:t>
            </w:r>
          </w:p>
        </w:tc>
        <w:tc>
          <w:tcPr>
            <w:tcW w:w="6048" w:type="dxa"/>
          </w:tcPr>
          <w:p w:rsidR="00562BF0" w:rsidRDefault="00562BF0" w:rsidP="000536AF">
            <w:pPr>
              <w:tabs>
                <w:tab w:val="center" w:pos="2290"/>
                <w:tab w:val="right" w:pos="4580"/>
              </w:tabs>
              <w:cnfStyle w:val="000000100000" w:firstRow="0" w:lastRow="0" w:firstColumn="0" w:lastColumn="0" w:oddVBand="0" w:evenVBand="0" w:oddHBand="1" w:evenHBand="0" w:firstRowFirstColumn="0" w:firstRowLastColumn="0" w:lastRowFirstColumn="0" w:lastRowLastColumn="0"/>
            </w:pPr>
            <w:r>
              <w:tab/>
            </w:r>
            <w:r w:rsidRPr="007321E3">
              <w:rPr>
                <w:position w:val="-24"/>
              </w:rPr>
              <w:object w:dxaOrig="1600" w:dyaOrig="680">
                <v:shape id="_x0000_i1029" type="#_x0000_t75" style="width:80pt;height:34.15pt" o:ole="">
                  <v:imagedata r:id="rId35" o:title=""/>
                </v:shape>
                <o:OLEObject Type="Embed" ProgID="Equation.DSMT4" ShapeID="_x0000_i1029" DrawAspect="Content" ObjectID="_1459259845" r:id="rId36"/>
              </w:object>
            </w:r>
            <w:r>
              <w:t xml:space="preserve"> </w:t>
            </w:r>
          </w:p>
          <w:p w:rsidR="00562BF0" w:rsidRDefault="00562BF0" w:rsidP="000536AF">
            <w:pPr>
              <w:tabs>
                <w:tab w:val="center" w:pos="2290"/>
                <w:tab w:val="right" w:pos="4580"/>
              </w:tabs>
              <w:cnfStyle w:val="000000100000" w:firstRow="0" w:lastRow="0" w:firstColumn="0" w:lastColumn="0" w:oddVBand="0" w:evenVBand="0" w:oddHBand="1" w:evenHBand="0" w:firstRowFirstColumn="0" w:firstRowLastColumn="0" w:lastRowFirstColumn="0" w:lastRowLastColumn="0"/>
            </w:pPr>
          </w:p>
        </w:tc>
      </w:tr>
      <w:tr w:rsidR="00562BF0" w:rsidTr="000536AF">
        <w:tc>
          <w:tcPr>
            <w:cnfStyle w:val="001000000000" w:firstRow="0" w:lastRow="0" w:firstColumn="1" w:lastColumn="0" w:oddVBand="0" w:evenVBand="0" w:oddHBand="0" w:evenHBand="0" w:firstRowFirstColumn="0" w:firstRowLastColumn="0" w:lastRowFirstColumn="0" w:lastRowLastColumn="0"/>
            <w:tcW w:w="3528" w:type="dxa"/>
          </w:tcPr>
          <w:p w:rsidR="00562BF0" w:rsidRDefault="00562BF0" w:rsidP="000536AF">
            <w:r>
              <w:t>1D straight, inclined wellbore with axial tension</w:t>
            </w:r>
          </w:p>
        </w:tc>
        <w:tc>
          <w:tcPr>
            <w:tcW w:w="6048" w:type="dxa"/>
          </w:tcPr>
          <w:p w:rsidR="00562BF0" w:rsidRDefault="00562BF0" w:rsidP="000536AF">
            <w:pPr>
              <w:cnfStyle w:val="000000000000" w:firstRow="0" w:lastRow="0" w:firstColumn="0" w:lastColumn="0" w:oddVBand="0" w:evenVBand="0" w:oddHBand="0" w:evenHBand="0" w:firstRowFirstColumn="0" w:firstRowLastColumn="0" w:lastRowFirstColumn="0" w:lastRowLastColumn="0"/>
            </w:pPr>
            <w:r w:rsidRPr="009701D5">
              <w:rPr>
                <w:position w:val="-32"/>
              </w:rPr>
              <w:object w:dxaOrig="4360" w:dyaOrig="760">
                <v:shape id="_x0000_i1030" type="#_x0000_t75" style="width:216.55pt;height:37.85pt" o:ole="">
                  <v:imagedata r:id="rId37" o:title=""/>
                </v:shape>
                <o:OLEObject Type="Embed" ProgID="Equation.DSMT4" ShapeID="_x0000_i1030" DrawAspect="Content" ObjectID="_1459259846" r:id="rId38"/>
              </w:object>
            </w:r>
          </w:p>
          <w:p w:rsidR="00562BF0" w:rsidRDefault="00562BF0" w:rsidP="000536AF">
            <w:pPr>
              <w:cnfStyle w:val="000000000000" w:firstRow="0" w:lastRow="0" w:firstColumn="0" w:lastColumn="0" w:oddVBand="0" w:evenVBand="0" w:oddHBand="0" w:evenHBand="0" w:firstRowFirstColumn="0" w:firstRowLastColumn="0" w:lastRowFirstColumn="0" w:lastRowLastColumn="0"/>
            </w:pPr>
            <w:r w:rsidRPr="00F96E0F">
              <w:rPr>
                <w:position w:val="-26"/>
              </w:rPr>
              <w:object w:dxaOrig="1219" w:dyaOrig="720">
                <v:shape id="_x0000_i1031" type="#_x0000_t75" style="width:61.35pt;height:36.8pt" o:ole="">
                  <v:imagedata r:id="rId39" o:title=""/>
                </v:shape>
                <o:OLEObject Type="Embed" ProgID="Equation.DSMT4" ShapeID="_x0000_i1031" DrawAspect="Content" ObjectID="_1459259847" r:id="rId40"/>
              </w:object>
            </w:r>
          </w:p>
        </w:tc>
      </w:tr>
      <w:tr w:rsidR="00562BF0" w:rsidTr="00053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562BF0" w:rsidRDefault="00562BF0" w:rsidP="000536AF">
            <w:r>
              <w:t>2D wellbore</w:t>
            </w:r>
          </w:p>
        </w:tc>
        <w:tc>
          <w:tcPr>
            <w:tcW w:w="6048" w:type="dxa"/>
          </w:tcPr>
          <w:p w:rsidR="00562BF0" w:rsidRDefault="00562BF0" w:rsidP="000536AF">
            <w:pPr>
              <w:cnfStyle w:val="000000100000" w:firstRow="0" w:lastRow="0" w:firstColumn="0" w:lastColumn="0" w:oddVBand="0" w:evenVBand="0" w:oddHBand="1" w:evenHBand="0" w:firstRowFirstColumn="0" w:firstRowLastColumn="0" w:lastRowFirstColumn="0" w:lastRowLastColumn="0"/>
            </w:pPr>
            <w:r w:rsidRPr="00D34024">
              <w:rPr>
                <w:position w:val="-32"/>
              </w:rPr>
              <w:object w:dxaOrig="4200" w:dyaOrig="760">
                <v:shape id="_x0000_i1032" type="#_x0000_t75" style="width:210.15pt;height:37.85pt" o:ole="">
                  <v:imagedata r:id="rId41" o:title=""/>
                </v:shape>
                <o:OLEObject Type="Embed" ProgID="Equation.DSMT4" ShapeID="_x0000_i1032" DrawAspect="Content" ObjectID="_1459259848" r:id="rId42"/>
              </w:object>
            </w:r>
          </w:p>
          <w:p w:rsidR="00562BF0" w:rsidRDefault="00562BF0" w:rsidP="000536AF">
            <w:pPr>
              <w:cnfStyle w:val="000000100000" w:firstRow="0" w:lastRow="0" w:firstColumn="0" w:lastColumn="0" w:oddVBand="0" w:evenVBand="0" w:oddHBand="1" w:evenHBand="0" w:firstRowFirstColumn="0" w:firstRowLastColumn="0" w:lastRowFirstColumn="0" w:lastRowLastColumn="0"/>
            </w:pPr>
            <w:r w:rsidRPr="00D34024">
              <w:rPr>
                <w:position w:val="-24"/>
              </w:rPr>
              <w:object w:dxaOrig="2799" w:dyaOrig="620">
                <v:shape id="_x0000_i1033" type="#_x0000_t75" style="width:139.75pt;height:31.45pt" o:ole="">
                  <v:imagedata r:id="rId43" o:title=""/>
                </v:shape>
                <o:OLEObject Type="Embed" ProgID="Equation.DSMT4" ShapeID="_x0000_i1033" DrawAspect="Content" ObjectID="_1459259849" r:id="rId44"/>
              </w:object>
            </w:r>
            <w:r>
              <w:t xml:space="preserve"> (decreasing inclination)</w:t>
            </w:r>
          </w:p>
          <w:p w:rsidR="00562BF0" w:rsidRDefault="00562BF0" w:rsidP="000536AF">
            <w:pPr>
              <w:cnfStyle w:val="000000100000" w:firstRow="0" w:lastRow="0" w:firstColumn="0" w:lastColumn="0" w:oddVBand="0" w:evenVBand="0" w:oddHBand="1" w:evenHBand="0" w:firstRowFirstColumn="0" w:firstRowLastColumn="0" w:lastRowFirstColumn="0" w:lastRowLastColumn="0"/>
            </w:pPr>
            <w:r w:rsidRPr="00D34024">
              <w:rPr>
                <w:position w:val="-24"/>
              </w:rPr>
              <w:object w:dxaOrig="2799" w:dyaOrig="620">
                <v:shape id="_x0000_i1034" type="#_x0000_t75" style="width:139.75pt;height:31.45pt" o:ole="">
                  <v:imagedata r:id="rId45" o:title=""/>
                </v:shape>
                <o:OLEObject Type="Embed" ProgID="Equation.DSMT4" ShapeID="_x0000_i1034" DrawAspect="Content" ObjectID="_1459259850" r:id="rId46"/>
              </w:object>
            </w:r>
            <w:r>
              <w:t xml:space="preserve"> (increasing inclination)</w:t>
            </w:r>
          </w:p>
          <w:p w:rsidR="00562BF0" w:rsidRDefault="00562BF0" w:rsidP="000536AF">
            <w:pPr>
              <w:cnfStyle w:val="000000100000" w:firstRow="0" w:lastRow="0" w:firstColumn="0" w:lastColumn="0" w:oddVBand="0" w:evenVBand="0" w:oddHBand="1" w:evenHBand="0" w:firstRowFirstColumn="0" w:firstRowLastColumn="0" w:lastRowFirstColumn="0" w:lastRowLastColumn="0"/>
            </w:pPr>
          </w:p>
        </w:tc>
      </w:tr>
      <w:tr w:rsidR="00562BF0" w:rsidTr="000536AF">
        <w:tc>
          <w:tcPr>
            <w:cnfStyle w:val="001000000000" w:firstRow="0" w:lastRow="0" w:firstColumn="1" w:lastColumn="0" w:oddVBand="0" w:evenVBand="0" w:oddHBand="0" w:evenHBand="0" w:firstRowFirstColumn="0" w:firstRowLastColumn="0" w:lastRowFirstColumn="0" w:lastRowLastColumn="0"/>
            <w:tcW w:w="3528" w:type="dxa"/>
          </w:tcPr>
          <w:p w:rsidR="00562BF0" w:rsidRDefault="00562BF0" w:rsidP="000536AF">
            <w:r>
              <w:lastRenderedPageBreak/>
              <w:t>3D wellbore</w:t>
            </w:r>
          </w:p>
        </w:tc>
        <w:tc>
          <w:tcPr>
            <w:tcW w:w="6048" w:type="dxa"/>
          </w:tcPr>
          <w:p w:rsidR="00562BF0" w:rsidRDefault="00562BF0" w:rsidP="000536AF">
            <w:pPr>
              <w:cnfStyle w:val="000000000000" w:firstRow="0" w:lastRow="0" w:firstColumn="0" w:lastColumn="0" w:oddVBand="0" w:evenVBand="0" w:oddHBand="0" w:evenHBand="0" w:firstRowFirstColumn="0" w:firstRowLastColumn="0" w:lastRowFirstColumn="0" w:lastRowLastColumn="0"/>
            </w:pPr>
            <w:r w:rsidRPr="00D34024">
              <w:rPr>
                <w:position w:val="-32"/>
              </w:rPr>
              <w:object w:dxaOrig="4200" w:dyaOrig="760">
                <v:shape id="_x0000_i1035" type="#_x0000_t75" style="width:210.15pt;height:37.85pt" o:ole="">
                  <v:imagedata r:id="rId41" o:title=""/>
                </v:shape>
                <o:OLEObject Type="Embed" ProgID="Equation.DSMT4" ShapeID="_x0000_i1035" DrawAspect="Content" ObjectID="_1459259851" r:id="rId47"/>
              </w:object>
            </w:r>
          </w:p>
          <w:p w:rsidR="00562BF0" w:rsidRDefault="00562BF0" w:rsidP="000536AF">
            <w:pPr>
              <w:cnfStyle w:val="000000000000" w:firstRow="0" w:lastRow="0" w:firstColumn="0" w:lastColumn="0" w:oddVBand="0" w:evenVBand="0" w:oddHBand="0" w:evenHBand="0" w:firstRowFirstColumn="0" w:firstRowLastColumn="0" w:lastRowFirstColumn="0" w:lastRowLastColumn="0"/>
            </w:pPr>
            <w:r w:rsidRPr="00704C57">
              <w:rPr>
                <w:position w:val="-16"/>
              </w:rPr>
              <w:object w:dxaOrig="1660" w:dyaOrig="480">
                <v:shape id="_x0000_i1036" type="#_x0000_t75" style="width:82.65pt;height:24pt" o:ole="">
                  <v:imagedata r:id="rId48" o:title=""/>
                </v:shape>
                <o:OLEObject Type="Embed" ProgID="Equation.DSMT4" ShapeID="_x0000_i1036" DrawAspect="Content" ObjectID="_1459259852" r:id="rId49"/>
              </w:object>
            </w:r>
          </w:p>
          <w:p w:rsidR="00562BF0" w:rsidRDefault="00562BF0" w:rsidP="000536AF">
            <w:pPr>
              <w:cnfStyle w:val="000000000000" w:firstRow="0" w:lastRow="0" w:firstColumn="0" w:lastColumn="0" w:oddVBand="0" w:evenVBand="0" w:oddHBand="0" w:evenHBand="0" w:firstRowFirstColumn="0" w:firstRowLastColumn="0" w:lastRowFirstColumn="0" w:lastRowLastColumn="0"/>
            </w:pPr>
            <w:r w:rsidRPr="00D34024">
              <w:rPr>
                <w:position w:val="-24"/>
              </w:rPr>
              <w:object w:dxaOrig="3080" w:dyaOrig="620">
                <v:shape id="_x0000_i1037" type="#_x0000_t75" style="width:154.15pt;height:31.45pt" o:ole="">
                  <v:imagedata r:id="rId50" o:title=""/>
                </v:shape>
                <o:OLEObject Type="Embed" ProgID="Equation.DSMT4" ShapeID="_x0000_i1037" DrawAspect="Content" ObjectID="_1459259853" r:id="rId51"/>
              </w:object>
            </w:r>
            <w:r>
              <w:t xml:space="preserve"> (decreasing inclination)</w:t>
            </w:r>
          </w:p>
          <w:p w:rsidR="00562BF0" w:rsidRDefault="00562BF0" w:rsidP="000536AF">
            <w:pPr>
              <w:cnfStyle w:val="000000000000" w:firstRow="0" w:lastRow="0" w:firstColumn="0" w:lastColumn="0" w:oddVBand="0" w:evenVBand="0" w:oddHBand="0" w:evenHBand="0" w:firstRowFirstColumn="0" w:firstRowLastColumn="0" w:lastRowFirstColumn="0" w:lastRowLastColumn="0"/>
            </w:pPr>
            <w:r w:rsidRPr="00D34024">
              <w:rPr>
                <w:position w:val="-24"/>
              </w:rPr>
              <w:object w:dxaOrig="3080" w:dyaOrig="620">
                <v:shape id="_x0000_i1038" type="#_x0000_t75" style="width:154.15pt;height:31.45pt" o:ole="">
                  <v:imagedata r:id="rId52" o:title=""/>
                </v:shape>
                <o:OLEObject Type="Embed" ProgID="Equation.DSMT4" ShapeID="_x0000_i1038" DrawAspect="Content" ObjectID="_1459259854" r:id="rId53"/>
              </w:object>
            </w:r>
            <w:r>
              <w:t xml:space="preserve"> (increasing inclination)</w:t>
            </w:r>
          </w:p>
          <w:p w:rsidR="00562BF0" w:rsidRDefault="00562BF0" w:rsidP="000536AF">
            <w:pPr>
              <w:cnfStyle w:val="000000000000" w:firstRow="0" w:lastRow="0" w:firstColumn="0" w:lastColumn="0" w:oddVBand="0" w:evenVBand="0" w:oddHBand="0" w:evenHBand="0" w:firstRowFirstColumn="0" w:firstRowLastColumn="0" w:lastRowFirstColumn="0" w:lastRowLastColumn="0"/>
            </w:pPr>
            <w:r w:rsidRPr="00A805D1">
              <w:rPr>
                <w:position w:val="-30"/>
              </w:rPr>
              <w:object w:dxaOrig="3660" w:dyaOrig="760">
                <v:shape id="_x0000_i1039" type="#_x0000_t75" style="width:181.85pt;height:37.85pt" o:ole="">
                  <v:imagedata r:id="rId54" o:title=""/>
                </v:shape>
                <o:OLEObject Type="Embed" ProgID="Equation.DSMT4" ShapeID="_x0000_i1039" DrawAspect="Content" ObjectID="_1459259855" r:id="rId55"/>
              </w:object>
            </w:r>
            <w:r>
              <w:t xml:space="preserve"> </w:t>
            </w:r>
          </w:p>
          <w:p w:rsidR="00562BF0" w:rsidRDefault="00562BF0" w:rsidP="000536AF">
            <w:pPr>
              <w:cnfStyle w:val="000000000000" w:firstRow="0" w:lastRow="0" w:firstColumn="0" w:lastColumn="0" w:oddVBand="0" w:evenVBand="0" w:oddHBand="0" w:evenHBand="0" w:firstRowFirstColumn="0" w:firstRowLastColumn="0" w:lastRowFirstColumn="0" w:lastRowLastColumn="0"/>
            </w:pPr>
            <w:r w:rsidRPr="00A805D1">
              <w:rPr>
                <w:position w:val="-12"/>
              </w:rPr>
              <w:object w:dxaOrig="4520" w:dyaOrig="380">
                <v:shape id="_x0000_i1040" type="#_x0000_t75" style="width:225.6pt;height:19.75pt" o:ole="">
                  <v:imagedata r:id="rId56" o:title=""/>
                </v:shape>
                <o:OLEObject Type="Embed" ProgID="Equation.DSMT4" ShapeID="_x0000_i1040" DrawAspect="Content" ObjectID="_1459259856" r:id="rId57"/>
              </w:object>
            </w:r>
            <w:r>
              <w:t xml:space="preserve"> </w:t>
            </w:r>
          </w:p>
          <w:p w:rsidR="00562BF0" w:rsidRDefault="00562BF0" w:rsidP="000536AF">
            <w:pPr>
              <w:cnfStyle w:val="000000000000" w:firstRow="0" w:lastRow="0" w:firstColumn="0" w:lastColumn="0" w:oddVBand="0" w:evenVBand="0" w:oddHBand="0" w:evenHBand="0" w:firstRowFirstColumn="0" w:firstRowLastColumn="0" w:lastRowFirstColumn="0" w:lastRowLastColumn="0"/>
            </w:pPr>
            <w:r w:rsidRPr="0094575E">
              <w:rPr>
                <w:position w:val="-14"/>
              </w:rPr>
              <w:object w:dxaOrig="1820" w:dyaOrig="380">
                <v:shape id="_x0000_i1041" type="#_x0000_t75" style="width:91.75pt;height:19.75pt" o:ole="">
                  <v:imagedata r:id="rId58" o:title=""/>
                </v:shape>
                <o:OLEObject Type="Embed" ProgID="Equation.DSMT4" ShapeID="_x0000_i1041" DrawAspect="Content" ObjectID="_1459259857" r:id="rId59"/>
              </w:object>
            </w:r>
            <w:r>
              <w:t xml:space="preserve"> </w:t>
            </w:r>
          </w:p>
          <w:p w:rsidR="00562BF0" w:rsidRDefault="00562BF0" w:rsidP="000536AF">
            <w:pPr>
              <w:cnfStyle w:val="000000000000" w:firstRow="0" w:lastRow="0" w:firstColumn="0" w:lastColumn="0" w:oddVBand="0" w:evenVBand="0" w:oddHBand="0" w:evenHBand="0" w:firstRowFirstColumn="0" w:firstRowLastColumn="0" w:lastRowFirstColumn="0" w:lastRowLastColumn="0"/>
            </w:pPr>
          </w:p>
        </w:tc>
      </w:tr>
    </w:tbl>
    <w:p w:rsidR="00562BF0" w:rsidRDefault="00562BF0" w:rsidP="00562BF0"/>
    <w:p w:rsidR="00562BF0" w:rsidRDefault="00562BF0" w:rsidP="00562BF0">
      <w:r>
        <w:t xml:space="preserve">Definitions for symbols in the above equations are given </w:t>
      </w:r>
      <w:r w:rsidR="00CA0CF5">
        <w:t xml:space="preserve">in </w:t>
      </w:r>
      <w:r w:rsidR="00CA0CF5">
        <w:fldChar w:fldCharType="begin"/>
      </w:r>
      <w:r w:rsidR="00CA0CF5">
        <w:instrText xml:space="preserve"> REF _Ref384119257 \h </w:instrText>
      </w:r>
      <w:r w:rsidR="00CA0CF5">
        <w:fldChar w:fldCharType="separate"/>
      </w:r>
      <w:r w:rsidR="00CA0CF5">
        <w:t xml:space="preserve">Table </w:t>
      </w:r>
      <w:r w:rsidR="00CA0CF5">
        <w:rPr>
          <w:noProof/>
        </w:rPr>
        <w:t>8</w:t>
      </w:r>
      <w:r w:rsidR="00CA0CF5">
        <w:fldChar w:fldCharType="end"/>
      </w:r>
      <w:r>
        <w:t>.</w:t>
      </w:r>
    </w:p>
    <w:p w:rsidR="00562BF0" w:rsidRDefault="00562BF0" w:rsidP="00D23335">
      <w:pPr>
        <w:pStyle w:val="Caption"/>
        <w:jc w:val="center"/>
      </w:pPr>
      <w:bookmarkStart w:id="25" w:name="_Ref384119257"/>
      <w:proofErr w:type="gramStart"/>
      <w:r>
        <w:t xml:space="preserve">Table </w:t>
      </w:r>
      <w:r w:rsidR="00D14AFE">
        <w:fldChar w:fldCharType="begin"/>
      </w:r>
      <w:r w:rsidR="00D14AFE">
        <w:instrText xml:space="preserve"> SEQ Table \* ARABIC </w:instrText>
      </w:r>
      <w:r w:rsidR="00D14AFE">
        <w:fldChar w:fldCharType="separate"/>
      </w:r>
      <w:r w:rsidR="003129FA">
        <w:rPr>
          <w:noProof/>
        </w:rPr>
        <w:t>8</w:t>
      </w:r>
      <w:r w:rsidR="00D14AFE">
        <w:rPr>
          <w:noProof/>
        </w:rPr>
        <w:fldChar w:fldCharType="end"/>
      </w:r>
      <w:bookmarkEnd w:id="25"/>
      <w:r>
        <w:t>.</w:t>
      </w:r>
      <w:proofErr w:type="gramEnd"/>
      <w:r>
        <w:t xml:space="preserve">  Definitions for terms used in deflection calculations</w:t>
      </w:r>
    </w:p>
    <w:tbl>
      <w:tblPr>
        <w:tblStyle w:val="LightList-Accent1"/>
        <w:tblW w:w="0" w:type="auto"/>
        <w:jc w:val="center"/>
        <w:tblLook w:val="04A0" w:firstRow="1" w:lastRow="0" w:firstColumn="1" w:lastColumn="0" w:noHBand="0" w:noVBand="1"/>
      </w:tblPr>
      <w:tblGrid>
        <w:gridCol w:w="1098"/>
        <w:gridCol w:w="5603"/>
      </w:tblGrid>
      <w:tr w:rsidR="00562BF0" w:rsidTr="00D2333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tcPr>
          <w:p w:rsidR="00562BF0" w:rsidRDefault="00562BF0" w:rsidP="000536AF">
            <w:r>
              <w:t>Symbol</w:t>
            </w:r>
          </w:p>
        </w:tc>
        <w:tc>
          <w:tcPr>
            <w:tcW w:w="5603" w:type="dxa"/>
          </w:tcPr>
          <w:p w:rsidR="00562BF0" w:rsidRDefault="00562BF0" w:rsidP="000536AF">
            <w:pPr>
              <w:cnfStyle w:val="100000000000" w:firstRow="1" w:lastRow="0" w:firstColumn="0" w:lastColumn="0" w:oddVBand="0" w:evenVBand="0" w:oddHBand="0" w:evenHBand="0" w:firstRowFirstColumn="0" w:firstRowLastColumn="0" w:lastRowFirstColumn="0" w:lastRowLastColumn="0"/>
            </w:pPr>
            <w:r>
              <w:t>Definition</w:t>
            </w:r>
          </w:p>
        </w:tc>
      </w:tr>
      <w:tr w:rsidR="00562BF0" w:rsidTr="00D233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tcPr>
          <w:p w:rsidR="00562BF0" w:rsidRDefault="00562BF0" w:rsidP="000536AF">
            <w:r>
              <w:sym w:font="Symbol" w:char="F064"/>
            </w:r>
          </w:p>
        </w:tc>
        <w:tc>
          <w:tcPr>
            <w:tcW w:w="5603" w:type="dxa"/>
          </w:tcPr>
          <w:p w:rsidR="00562BF0" w:rsidRDefault="00562BF0" w:rsidP="000536AF">
            <w:pPr>
              <w:cnfStyle w:val="000000100000" w:firstRow="0" w:lastRow="0" w:firstColumn="0" w:lastColumn="0" w:oddVBand="0" w:evenVBand="0" w:oddHBand="1" w:evenHBand="0" w:firstRowFirstColumn="0" w:firstRowLastColumn="0" w:lastRowFirstColumn="0" w:lastRowLastColumn="0"/>
            </w:pPr>
            <w:r>
              <w:t>Maximum deflection of casing between centralizers</w:t>
            </w:r>
          </w:p>
        </w:tc>
      </w:tr>
      <w:tr w:rsidR="00562BF0" w:rsidTr="00D23335">
        <w:trPr>
          <w:jc w:val="center"/>
        </w:trPr>
        <w:tc>
          <w:tcPr>
            <w:cnfStyle w:val="001000000000" w:firstRow="0" w:lastRow="0" w:firstColumn="1" w:lastColumn="0" w:oddVBand="0" w:evenVBand="0" w:oddHBand="0" w:evenHBand="0" w:firstRowFirstColumn="0" w:firstRowLastColumn="0" w:lastRowFirstColumn="0" w:lastRowLastColumn="0"/>
            <w:tcW w:w="1098" w:type="dxa"/>
          </w:tcPr>
          <w:p w:rsidR="00562BF0" w:rsidRPr="00FC1296" w:rsidRDefault="00562BF0" w:rsidP="000536AF">
            <w:pPr>
              <w:rPr>
                <w:vertAlign w:val="subscript"/>
              </w:rPr>
            </w:pPr>
            <w:proofErr w:type="spellStart"/>
            <w:r>
              <w:t>W</w:t>
            </w:r>
            <w:r>
              <w:rPr>
                <w:vertAlign w:val="subscript"/>
              </w:rPr>
              <w:t>b</w:t>
            </w:r>
            <w:proofErr w:type="spellEnd"/>
          </w:p>
        </w:tc>
        <w:tc>
          <w:tcPr>
            <w:tcW w:w="5603" w:type="dxa"/>
          </w:tcPr>
          <w:p w:rsidR="00562BF0" w:rsidRDefault="00562BF0" w:rsidP="000536AF">
            <w:pPr>
              <w:cnfStyle w:val="000000000000" w:firstRow="0" w:lastRow="0" w:firstColumn="0" w:lastColumn="0" w:oddVBand="0" w:evenVBand="0" w:oddHBand="0" w:evenHBand="0" w:firstRowFirstColumn="0" w:firstRowLastColumn="0" w:lastRowFirstColumn="0" w:lastRowLastColumn="0"/>
            </w:pPr>
            <w:r>
              <w:t>Buoyed weight of casing per unit length</w:t>
            </w:r>
          </w:p>
        </w:tc>
      </w:tr>
      <w:tr w:rsidR="00562BF0" w:rsidTr="00D233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tcPr>
          <w:p w:rsidR="00562BF0" w:rsidRDefault="00562BF0" w:rsidP="000536AF">
            <w:r>
              <w:sym w:font="Symbol" w:char="F071"/>
            </w:r>
          </w:p>
        </w:tc>
        <w:tc>
          <w:tcPr>
            <w:tcW w:w="5603" w:type="dxa"/>
          </w:tcPr>
          <w:p w:rsidR="00562BF0" w:rsidRDefault="00562BF0" w:rsidP="000536AF">
            <w:pPr>
              <w:cnfStyle w:val="000000100000" w:firstRow="0" w:lastRow="0" w:firstColumn="0" w:lastColumn="0" w:oddVBand="0" w:evenVBand="0" w:oddHBand="1" w:evenHBand="0" w:firstRowFirstColumn="0" w:firstRowLastColumn="0" w:lastRowFirstColumn="0" w:lastRowLastColumn="0"/>
            </w:pPr>
            <w:r>
              <w:t xml:space="preserve">Wellbore inclination angle </w:t>
            </w:r>
          </w:p>
        </w:tc>
      </w:tr>
      <w:tr w:rsidR="00562BF0" w:rsidTr="00D23335">
        <w:trPr>
          <w:jc w:val="center"/>
        </w:trPr>
        <w:tc>
          <w:tcPr>
            <w:cnfStyle w:val="001000000000" w:firstRow="0" w:lastRow="0" w:firstColumn="1" w:lastColumn="0" w:oddVBand="0" w:evenVBand="0" w:oddHBand="0" w:evenHBand="0" w:firstRowFirstColumn="0" w:firstRowLastColumn="0" w:lastRowFirstColumn="0" w:lastRowLastColumn="0"/>
            <w:tcW w:w="1098" w:type="dxa"/>
          </w:tcPr>
          <w:p w:rsidR="00562BF0" w:rsidRPr="00FC1296" w:rsidRDefault="00562BF0" w:rsidP="000536AF">
            <w:pPr>
              <w:rPr>
                <w:vertAlign w:val="subscript"/>
              </w:rPr>
            </w:pPr>
            <w:proofErr w:type="spellStart"/>
            <w:r>
              <w:t>l</w:t>
            </w:r>
            <w:r>
              <w:rPr>
                <w:vertAlign w:val="subscript"/>
              </w:rPr>
              <w:t>c</w:t>
            </w:r>
            <w:proofErr w:type="spellEnd"/>
          </w:p>
        </w:tc>
        <w:tc>
          <w:tcPr>
            <w:tcW w:w="5603" w:type="dxa"/>
          </w:tcPr>
          <w:p w:rsidR="00562BF0" w:rsidRDefault="00562BF0" w:rsidP="000536AF">
            <w:pPr>
              <w:cnfStyle w:val="000000000000" w:firstRow="0" w:lastRow="0" w:firstColumn="0" w:lastColumn="0" w:oddVBand="0" w:evenVBand="0" w:oddHBand="0" w:evenHBand="0" w:firstRowFirstColumn="0" w:firstRowLastColumn="0" w:lastRowFirstColumn="0" w:lastRowLastColumn="0"/>
            </w:pPr>
            <w:r>
              <w:t>Distance between centralizers</w:t>
            </w:r>
          </w:p>
        </w:tc>
      </w:tr>
      <w:tr w:rsidR="00562BF0" w:rsidTr="00D233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tcPr>
          <w:p w:rsidR="00562BF0" w:rsidRDefault="00562BF0" w:rsidP="000536AF">
            <w:r>
              <w:t>E</w:t>
            </w:r>
          </w:p>
        </w:tc>
        <w:tc>
          <w:tcPr>
            <w:tcW w:w="5603" w:type="dxa"/>
          </w:tcPr>
          <w:p w:rsidR="00562BF0" w:rsidRDefault="00562BF0" w:rsidP="000536AF">
            <w:pPr>
              <w:cnfStyle w:val="000000100000" w:firstRow="0" w:lastRow="0" w:firstColumn="0" w:lastColumn="0" w:oddVBand="0" w:evenVBand="0" w:oddHBand="1" w:evenHBand="0" w:firstRowFirstColumn="0" w:firstRowLastColumn="0" w:lastRowFirstColumn="0" w:lastRowLastColumn="0"/>
            </w:pPr>
            <w:r>
              <w:t>Modulus of elasticity of casing</w:t>
            </w:r>
          </w:p>
        </w:tc>
      </w:tr>
      <w:tr w:rsidR="00562BF0" w:rsidTr="00D23335">
        <w:trPr>
          <w:jc w:val="center"/>
        </w:trPr>
        <w:tc>
          <w:tcPr>
            <w:cnfStyle w:val="001000000000" w:firstRow="0" w:lastRow="0" w:firstColumn="1" w:lastColumn="0" w:oddVBand="0" w:evenVBand="0" w:oddHBand="0" w:evenHBand="0" w:firstRowFirstColumn="0" w:firstRowLastColumn="0" w:lastRowFirstColumn="0" w:lastRowLastColumn="0"/>
            <w:tcW w:w="1098" w:type="dxa"/>
          </w:tcPr>
          <w:p w:rsidR="00562BF0" w:rsidRDefault="00562BF0" w:rsidP="000536AF">
            <w:r>
              <w:t>I</w:t>
            </w:r>
          </w:p>
        </w:tc>
        <w:tc>
          <w:tcPr>
            <w:tcW w:w="5603" w:type="dxa"/>
          </w:tcPr>
          <w:p w:rsidR="00562BF0" w:rsidRDefault="00562BF0" w:rsidP="000536AF">
            <w:pPr>
              <w:cnfStyle w:val="000000000000" w:firstRow="0" w:lastRow="0" w:firstColumn="0" w:lastColumn="0" w:oddVBand="0" w:evenVBand="0" w:oddHBand="0" w:evenHBand="0" w:firstRowFirstColumn="0" w:firstRowLastColumn="0" w:lastRowFirstColumn="0" w:lastRowLastColumn="0"/>
            </w:pPr>
            <w:r>
              <w:t>Area moment of inertia of casing</w:t>
            </w:r>
          </w:p>
        </w:tc>
      </w:tr>
      <w:tr w:rsidR="00562BF0" w:rsidTr="00D233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tcPr>
          <w:p w:rsidR="00562BF0" w:rsidRPr="00FC1296" w:rsidRDefault="00562BF0" w:rsidP="000536AF">
            <w:pPr>
              <w:rPr>
                <w:vertAlign w:val="subscript"/>
              </w:rPr>
            </w:pPr>
            <w:r>
              <w:t>F</w:t>
            </w:r>
            <w:r>
              <w:rPr>
                <w:vertAlign w:val="subscript"/>
              </w:rPr>
              <w:t>t</w:t>
            </w:r>
          </w:p>
        </w:tc>
        <w:tc>
          <w:tcPr>
            <w:tcW w:w="5603" w:type="dxa"/>
          </w:tcPr>
          <w:p w:rsidR="00562BF0" w:rsidRDefault="00562BF0" w:rsidP="000536AF">
            <w:pPr>
              <w:cnfStyle w:val="000000100000" w:firstRow="0" w:lastRow="0" w:firstColumn="0" w:lastColumn="0" w:oddVBand="0" w:evenVBand="0" w:oddHBand="1" w:evenHBand="0" w:firstRowFirstColumn="0" w:firstRowLastColumn="0" w:lastRowFirstColumn="0" w:lastRowLastColumn="0"/>
            </w:pPr>
            <w:r>
              <w:t>Effective tension below centralizer</w:t>
            </w:r>
          </w:p>
        </w:tc>
      </w:tr>
      <w:tr w:rsidR="00562BF0" w:rsidTr="00D23335">
        <w:trPr>
          <w:jc w:val="center"/>
        </w:trPr>
        <w:tc>
          <w:tcPr>
            <w:cnfStyle w:val="001000000000" w:firstRow="0" w:lastRow="0" w:firstColumn="1" w:lastColumn="0" w:oddVBand="0" w:evenVBand="0" w:oddHBand="0" w:evenHBand="0" w:firstRowFirstColumn="0" w:firstRowLastColumn="0" w:lastRowFirstColumn="0" w:lastRowLastColumn="0"/>
            <w:tcW w:w="1098" w:type="dxa"/>
          </w:tcPr>
          <w:p w:rsidR="00562BF0" w:rsidRDefault="00562BF0" w:rsidP="000536AF">
            <w:r w:rsidRPr="00FC1296">
              <w:rPr>
                <w:b w:val="0"/>
                <w:bCs w:val="0"/>
                <w:position w:val="-6"/>
              </w:rPr>
              <w:object w:dxaOrig="240" w:dyaOrig="320">
                <v:shape id="_x0000_i1042" type="#_x0000_t75" style="width:12.25pt;height:15.45pt" o:ole="">
                  <v:imagedata r:id="rId60" o:title=""/>
                </v:shape>
                <o:OLEObject Type="Embed" ProgID="Equation.DSMT4" ShapeID="_x0000_i1042" DrawAspect="Content" ObjectID="_1459259858" r:id="rId61"/>
              </w:object>
            </w:r>
            <w:r>
              <w:t xml:space="preserve"> </w:t>
            </w:r>
          </w:p>
        </w:tc>
        <w:tc>
          <w:tcPr>
            <w:tcW w:w="5603" w:type="dxa"/>
          </w:tcPr>
          <w:p w:rsidR="00562BF0" w:rsidRDefault="00562BF0" w:rsidP="000536AF">
            <w:pPr>
              <w:cnfStyle w:val="000000000000" w:firstRow="0" w:lastRow="0" w:firstColumn="0" w:lastColumn="0" w:oddVBand="0" w:evenVBand="0" w:oddHBand="0" w:evenHBand="0" w:firstRowFirstColumn="0" w:firstRowLastColumn="0" w:lastRowFirstColumn="0" w:lastRowLastColumn="0"/>
            </w:pPr>
            <w:r>
              <w:t>Average wellbore inclination between two centralizers</w:t>
            </w:r>
          </w:p>
        </w:tc>
      </w:tr>
      <w:tr w:rsidR="00562BF0" w:rsidTr="00D233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tcPr>
          <w:p w:rsidR="00562BF0" w:rsidRDefault="00562BF0" w:rsidP="000536AF">
            <w:r>
              <w:t>r</w:t>
            </w:r>
          </w:p>
        </w:tc>
        <w:tc>
          <w:tcPr>
            <w:tcW w:w="5603" w:type="dxa"/>
          </w:tcPr>
          <w:p w:rsidR="00562BF0" w:rsidRDefault="00562BF0" w:rsidP="000536AF">
            <w:pPr>
              <w:cnfStyle w:val="000000100000" w:firstRow="0" w:lastRow="0" w:firstColumn="0" w:lastColumn="0" w:oddVBand="0" w:evenVBand="0" w:oddHBand="1" w:evenHBand="0" w:firstRowFirstColumn="0" w:firstRowLastColumn="0" w:lastRowFirstColumn="0" w:lastRowLastColumn="0"/>
            </w:pPr>
            <w:r>
              <w:t>Radius of curvature of wellbore path</w:t>
            </w:r>
          </w:p>
        </w:tc>
      </w:tr>
      <w:tr w:rsidR="00562BF0" w:rsidTr="00D23335">
        <w:trPr>
          <w:jc w:val="center"/>
        </w:trPr>
        <w:tc>
          <w:tcPr>
            <w:cnfStyle w:val="001000000000" w:firstRow="0" w:lastRow="0" w:firstColumn="1" w:lastColumn="0" w:oddVBand="0" w:evenVBand="0" w:oddHBand="0" w:evenHBand="0" w:firstRowFirstColumn="0" w:firstRowLastColumn="0" w:lastRowFirstColumn="0" w:lastRowLastColumn="0"/>
            <w:tcW w:w="1098" w:type="dxa"/>
          </w:tcPr>
          <w:p w:rsidR="00562BF0" w:rsidRDefault="00562BF0" w:rsidP="000536AF">
            <w:r>
              <w:sym w:font="Symbol" w:char="F062"/>
            </w:r>
          </w:p>
        </w:tc>
        <w:tc>
          <w:tcPr>
            <w:tcW w:w="5603" w:type="dxa"/>
          </w:tcPr>
          <w:p w:rsidR="00562BF0" w:rsidRDefault="00562BF0" w:rsidP="000536AF">
            <w:pPr>
              <w:cnfStyle w:val="000000000000" w:firstRow="0" w:lastRow="0" w:firstColumn="0" w:lastColumn="0" w:oddVBand="0" w:evenVBand="0" w:oddHBand="0" w:evenHBand="0" w:firstRowFirstColumn="0" w:firstRowLastColumn="0" w:lastRowFirstColumn="0" w:lastRowLastColumn="0"/>
            </w:pPr>
            <w:r>
              <w:t>Total angle change between centralizers</w:t>
            </w:r>
          </w:p>
        </w:tc>
      </w:tr>
      <w:tr w:rsidR="00562BF0" w:rsidTr="00D233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tcPr>
          <w:p w:rsidR="00562BF0" w:rsidRPr="00FC1296" w:rsidRDefault="00562BF0" w:rsidP="000536AF">
            <w:pPr>
              <w:rPr>
                <w:vertAlign w:val="subscript"/>
              </w:rPr>
            </w:pPr>
            <w:r>
              <w:sym w:font="Symbol" w:char="F067"/>
            </w:r>
            <w:r>
              <w:rPr>
                <w:vertAlign w:val="subscript"/>
              </w:rPr>
              <w:t>n</w:t>
            </w:r>
          </w:p>
        </w:tc>
        <w:tc>
          <w:tcPr>
            <w:tcW w:w="5603" w:type="dxa"/>
          </w:tcPr>
          <w:p w:rsidR="00562BF0" w:rsidRDefault="00562BF0" w:rsidP="000536AF">
            <w:pPr>
              <w:cnfStyle w:val="000000100000" w:firstRow="0" w:lastRow="0" w:firstColumn="0" w:lastColumn="0" w:oddVBand="0" w:evenVBand="0" w:oddHBand="1" w:evenHBand="0" w:firstRowFirstColumn="0" w:firstRowLastColumn="0" w:lastRowFirstColumn="0" w:lastRowLastColumn="0"/>
            </w:pPr>
            <w:r>
              <w:t>Angle between gravity vector and principal normal of wellbore</w:t>
            </w:r>
          </w:p>
        </w:tc>
      </w:tr>
      <w:tr w:rsidR="00562BF0" w:rsidTr="00D23335">
        <w:trPr>
          <w:jc w:val="center"/>
        </w:trPr>
        <w:tc>
          <w:tcPr>
            <w:cnfStyle w:val="001000000000" w:firstRow="0" w:lastRow="0" w:firstColumn="1" w:lastColumn="0" w:oddVBand="0" w:evenVBand="0" w:oddHBand="0" w:evenHBand="0" w:firstRowFirstColumn="0" w:firstRowLastColumn="0" w:lastRowFirstColumn="0" w:lastRowLastColumn="0"/>
            <w:tcW w:w="1098" w:type="dxa"/>
          </w:tcPr>
          <w:p w:rsidR="00562BF0" w:rsidRDefault="00562BF0" w:rsidP="000536AF">
            <w:r>
              <w:sym w:font="Symbol" w:char="F067"/>
            </w:r>
            <w:r>
              <w:rPr>
                <w:vertAlign w:val="subscript"/>
              </w:rPr>
              <w:t>0</w:t>
            </w:r>
          </w:p>
        </w:tc>
        <w:tc>
          <w:tcPr>
            <w:tcW w:w="5603" w:type="dxa"/>
          </w:tcPr>
          <w:p w:rsidR="00562BF0" w:rsidRDefault="00562BF0" w:rsidP="000536AF">
            <w:pPr>
              <w:cnfStyle w:val="000000000000" w:firstRow="0" w:lastRow="0" w:firstColumn="0" w:lastColumn="0" w:oddVBand="0" w:evenVBand="0" w:oddHBand="0" w:evenHBand="0" w:firstRowFirstColumn="0" w:firstRowLastColumn="0" w:lastRowFirstColumn="0" w:lastRowLastColumn="0"/>
            </w:pPr>
            <w:r>
              <w:t xml:space="preserve">Angle between gravity vector and </w:t>
            </w:r>
            <w:proofErr w:type="spellStart"/>
            <w:r>
              <w:t>binormal</w:t>
            </w:r>
            <w:proofErr w:type="spellEnd"/>
            <w:r>
              <w:t xml:space="preserve"> of wellbore</w:t>
            </w:r>
          </w:p>
        </w:tc>
      </w:tr>
      <w:tr w:rsidR="00562BF0" w:rsidTr="00D233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tcPr>
          <w:p w:rsidR="00562BF0" w:rsidRDefault="00562BF0" w:rsidP="000536AF">
            <w:r>
              <w:sym w:font="Symbol" w:char="F066"/>
            </w:r>
          </w:p>
        </w:tc>
        <w:tc>
          <w:tcPr>
            <w:tcW w:w="5603" w:type="dxa"/>
          </w:tcPr>
          <w:p w:rsidR="00562BF0" w:rsidRDefault="00562BF0" w:rsidP="000536AF">
            <w:pPr>
              <w:cnfStyle w:val="000000100000" w:firstRow="0" w:lastRow="0" w:firstColumn="0" w:lastColumn="0" w:oddVBand="0" w:evenVBand="0" w:oddHBand="1" w:evenHBand="0" w:firstRowFirstColumn="0" w:firstRowLastColumn="0" w:lastRowFirstColumn="0" w:lastRowLastColumn="0"/>
            </w:pPr>
            <w:r>
              <w:t>Azimuth angle</w:t>
            </w:r>
          </w:p>
        </w:tc>
      </w:tr>
      <w:tr w:rsidR="00562BF0" w:rsidTr="00D23335">
        <w:trPr>
          <w:jc w:val="center"/>
        </w:trPr>
        <w:tc>
          <w:tcPr>
            <w:cnfStyle w:val="001000000000" w:firstRow="0" w:lastRow="0" w:firstColumn="1" w:lastColumn="0" w:oddVBand="0" w:evenVBand="0" w:oddHBand="0" w:evenHBand="0" w:firstRowFirstColumn="0" w:firstRowLastColumn="0" w:lastRowFirstColumn="0" w:lastRowLastColumn="0"/>
            <w:tcW w:w="1098" w:type="dxa"/>
          </w:tcPr>
          <w:p w:rsidR="00562BF0" w:rsidRPr="00FC1296" w:rsidRDefault="00562BF0" w:rsidP="000536AF">
            <w:pPr>
              <w:rPr>
                <w:vertAlign w:val="subscript"/>
              </w:rPr>
            </w:pPr>
            <w:proofErr w:type="spellStart"/>
            <w:r>
              <w:t>F</w:t>
            </w:r>
            <w:r>
              <w:rPr>
                <w:vertAlign w:val="subscript"/>
              </w:rPr>
              <w:t>l,dp</w:t>
            </w:r>
            <w:proofErr w:type="spellEnd"/>
          </w:p>
        </w:tc>
        <w:tc>
          <w:tcPr>
            <w:tcW w:w="5603" w:type="dxa"/>
          </w:tcPr>
          <w:p w:rsidR="00562BF0" w:rsidRDefault="00562BF0" w:rsidP="000536AF">
            <w:pPr>
              <w:cnfStyle w:val="000000000000" w:firstRow="0" w:lastRow="0" w:firstColumn="0" w:lastColumn="0" w:oddVBand="0" w:evenVBand="0" w:oddHBand="0" w:evenHBand="0" w:firstRowFirstColumn="0" w:firstRowLastColumn="0" w:lastRowFirstColumn="0" w:lastRowLastColumn="0"/>
            </w:pPr>
            <w:r>
              <w:t>Total lateral load in the dogleg plane</w:t>
            </w:r>
          </w:p>
        </w:tc>
      </w:tr>
      <w:tr w:rsidR="00562BF0" w:rsidTr="00D233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tcPr>
          <w:p w:rsidR="00562BF0" w:rsidRPr="00FC1296" w:rsidRDefault="00562BF0" w:rsidP="000536AF">
            <w:pPr>
              <w:rPr>
                <w:vertAlign w:val="subscript"/>
              </w:rPr>
            </w:pPr>
            <w:proofErr w:type="spellStart"/>
            <w:r>
              <w:t>F</w:t>
            </w:r>
            <w:r>
              <w:rPr>
                <w:vertAlign w:val="subscript"/>
              </w:rPr>
              <w:t>l,p</w:t>
            </w:r>
            <w:proofErr w:type="spellEnd"/>
          </w:p>
        </w:tc>
        <w:tc>
          <w:tcPr>
            <w:tcW w:w="5603" w:type="dxa"/>
          </w:tcPr>
          <w:p w:rsidR="00562BF0" w:rsidRDefault="00562BF0" w:rsidP="000536AF">
            <w:pPr>
              <w:cnfStyle w:val="000000100000" w:firstRow="0" w:lastRow="0" w:firstColumn="0" w:lastColumn="0" w:oddVBand="0" w:evenVBand="0" w:oddHBand="1" w:evenHBand="0" w:firstRowFirstColumn="0" w:firstRowLastColumn="0" w:lastRowFirstColumn="0" w:lastRowLastColumn="0"/>
            </w:pPr>
            <w:r>
              <w:t>Total lateral load perpendicular to dogleg plane</w:t>
            </w:r>
          </w:p>
        </w:tc>
      </w:tr>
    </w:tbl>
    <w:p w:rsidR="009852F1" w:rsidRDefault="009852F1" w:rsidP="009852F1"/>
    <w:p w:rsidR="00D23335" w:rsidRDefault="00D23335" w:rsidP="009852F1">
      <w:r>
        <w:t xml:space="preserve">The recommended spacing between centralizers </w:t>
      </w:r>
      <w:r w:rsidR="00CA0CF5">
        <w:t>is</w:t>
      </w:r>
      <w:r>
        <w:t xml:space="preserve"> determined by solving for </w:t>
      </w:r>
      <w:proofErr w:type="spellStart"/>
      <w:r w:rsidRPr="00C02A00">
        <w:rPr>
          <w:i/>
        </w:rPr>
        <w:t>l</w:t>
      </w:r>
      <w:r w:rsidRPr="00C02A00">
        <w:rPr>
          <w:i/>
          <w:vertAlign w:val="subscript"/>
        </w:rPr>
        <w:t>c</w:t>
      </w:r>
      <w:proofErr w:type="spellEnd"/>
      <w:r>
        <w:t xml:space="preserve"> in the above equations.</w:t>
      </w:r>
    </w:p>
    <w:p w:rsidR="00BE50DC" w:rsidRDefault="00562BF0" w:rsidP="00562BF0">
      <w:r>
        <w:lastRenderedPageBreak/>
        <w:t xml:space="preserve">Positioning centralizers on the casing or pipe is done with stop collars or upset features integrated into the box end of casing.  </w:t>
      </w:r>
      <w:r w:rsidR="00BE50DC">
        <w:t xml:space="preserve">Stop collars </w:t>
      </w:r>
      <w:r>
        <w:t>are typically held in place using set screws or locking pins (</w:t>
      </w:r>
      <w:r>
        <w:fldChar w:fldCharType="begin"/>
      </w:r>
      <w:r>
        <w:instrText xml:space="preserve"> REF _Ref379377464 \h </w:instrText>
      </w:r>
      <w:r>
        <w:fldChar w:fldCharType="separate"/>
      </w:r>
      <w:r w:rsidR="003129FA">
        <w:t xml:space="preserve">Figure </w:t>
      </w:r>
      <w:r w:rsidR="003129FA">
        <w:rPr>
          <w:noProof/>
        </w:rPr>
        <w:t>17</w:t>
      </w:r>
      <w:r>
        <w:fldChar w:fldCharType="end"/>
      </w:r>
      <w:r>
        <w:t>).</w:t>
      </w:r>
      <w:r w:rsidR="00BE50DC">
        <w:t xml:space="preserve">  Some are held in place with resins or other adhesives while others use screws, nails, or mechanical dogs </w:t>
      </w:r>
      <w:r w:rsidR="00BE50DC">
        <w:fldChar w:fldCharType="begin"/>
      </w:r>
      <w:r w:rsidR="00817F40">
        <w:instrText xml:space="preserve"> ADDIN EN.CITE &lt;EndNote&gt;&lt;Cite ExcludeYear="1"&gt;&lt;Author&gt;API&lt;/Author&gt;&lt;Year&gt;2010&lt;/Year&gt;&lt;RecNum&gt;430&lt;/RecNum&gt;&lt;DisplayText&gt;[27]&lt;/DisplayText&gt;&lt;record&gt;&lt;rec-number&gt;430&lt;/rec-number&gt;&lt;foreign-keys&gt;&lt;key app="EN" db-id="rwzxp2sses9f5deexw8xe0tjf5f2wep0epv9"&gt;430&lt;/key&gt;&lt;/foreign-keys&gt;&lt;ref-type name="Standard"&gt;58&lt;/ref-type&gt;&lt;contributors&gt;&lt;authors&gt;&lt;author&gt;API&lt;/author&gt;&lt;/authors&gt;&lt;/contributors&gt;&lt;titles&gt;&lt;title&gt;API RP 10D-2 Recommended Practice for Centralizer Placement and Stop-collar Testing&lt;/title&gt;&lt;/titles&gt;&lt;volume&gt;API RP 10D-2&lt;/volume&gt;&lt;dates&gt;&lt;year&gt;2010&lt;/year&gt;&lt;/dates&gt;&lt;pub-location&gt;Washington, DC&lt;/pub-location&gt;&lt;publisher&gt;American Petroleum Institute&lt;/publisher&gt;&lt;urls&gt;&lt;/urls&gt;&lt;/record&gt;&lt;/Cite&gt;&lt;/EndNote&gt;</w:instrText>
      </w:r>
      <w:r w:rsidR="00BE50DC">
        <w:fldChar w:fldCharType="separate"/>
      </w:r>
      <w:r w:rsidR="00817F40">
        <w:rPr>
          <w:noProof/>
        </w:rPr>
        <w:t>[</w:t>
      </w:r>
      <w:hyperlink w:anchor="_ENREF_27" w:tooltip="API, 2010 #430" w:history="1">
        <w:r w:rsidR="00817F40">
          <w:rPr>
            <w:noProof/>
          </w:rPr>
          <w:t>27</w:t>
        </w:r>
      </w:hyperlink>
      <w:r w:rsidR="00817F40">
        <w:rPr>
          <w:noProof/>
        </w:rPr>
        <w:t>]</w:t>
      </w:r>
      <w:r w:rsidR="00BE50DC">
        <w:fldChar w:fldCharType="end"/>
      </w:r>
      <w:r w:rsidR="00BE50DC">
        <w:t xml:space="preserve">.  They can be </w:t>
      </w:r>
      <w:r>
        <w:t xml:space="preserve">independent of the centralizers or integrated into the centralizers. </w:t>
      </w:r>
    </w:p>
    <w:p w:rsidR="00562BF0" w:rsidRDefault="00562BF0" w:rsidP="00562BF0">
      <w:r>
        <w:t>According to API RP 10D-2, the stop collar or holding device “shall be capable of preventing slippage.”  To accomplish this, the holding force of the stop collar shall be greater than the starting force of the centralizer with additional margin built in for varying well conditions.</w:t>
      </w:r>
    </w:p>
    <w:tbl>
      <w:tblPr>
        <w:tblStyle w:val="LightList-Accent1"/>
        <w:tblW w:w="5000" w:type="pct"/>
        <w:tblLook w:val="0000" w:firstRow="0" w:lastRow="0" w:firstColumn="0" w:lastColumn="0" w:noHBand="0" w:noVBand="0"/>
      </w:tblPr>
      <w:tblGrid>
        <w:gridCol w:w="4560"/>
        <w:gridCol w:w="5016"/>
      </w:tblGrid>
      <w:tr w:rsidR="00562BF0" w:rsidTr="00D2333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1" w:type="pct"/>
          </w:tcPr>
          <w:p w:rsidR="00562BF0" w:rsidRDefault="00562BF0" w:rsidP="000536AF">
            <w:r>
              <w:rPr>
                <w:noProof/>
              </w:rPr>
              <w:drawing>
                <wp:inline distT="0" distB="0" distL="0" distR="0" wp14:anchorId="4DB2C590" wp14:editId="5E520E96">
                  <wp:extent cx="2743200" cy="207293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_series_web.jpg"/>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43200" cy="2072934"/>
                          </a:xfrm>
                          <a:prstGeom prst="rect">
                            <a:avLst/>
                          </a:prstGeom>
                        </pic:spPr>
                      </pic:pic>
                    </a:graphicData>
                  </a:graphic>
                </wp:inline>
              </w:drawing>
            </w:r>
          </w:p>
        </w:tc>
        <w:tc>
          <w:tcPr>
            <w:tcW w:w="2619" w:type="pct"/>
          </w:tcPr>
          <w:p w:rsidR="00562BF0" w:rsidRDefault="00562BF0" w:rsidP="000536AF">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D067234" wp14:editId="4B57E2F9">
                  <wp:extent cx="3045214" cy="19706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_series_web.jpg"/>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45480" cy="1970777"/>
                          </a:xfrm>
                          <a:prstGeom prst="rect">
                            <a:avLst/>
                          </a:prstGeom>
                        </pic:spPr>
                      </pic:pic>
                    </a:graphicData>
                  </a:graphic>
                </wp:inline>
              </w:drawing>
            </w:r>
          </w:p>
        </w:tc>
      </w:tr>
      <w:tr w:rsidR="00562BF0" w:rsidTr="00D23335">
        <w:tc>
          <w:tcPr>
            <w:cnfStyle w:val="000010000000" w:firstRow="0" w:lastRow="0" w:firstColumn="0" w:lastColumn="0" w:oddVBand="1" w:evenVBand="0" w:oddHBand="0" w:evenHBand="0" w:firstRowFirstColumn="0" w:firstRowLastColumn="0" w:lastRowFirstColumn="0" w:lastRowLastColumn="0"/>
            <w:tcW w:w="2381" w:type="pct"/>
          </w:tcPr>
          <w:p w:rsidR="00562BF0" w:rsidRDefault="00562BF0" w:rsidP="000536AF">
            <w:r>
              <w:t>Hinged collar with cross-bolt</w:t>
            </w:r>
          </w:p>
        </w:tc>
        <w:tc>
          <w:tcPr>
            <w:tcW w:w="2619" w:type="pct"/>
          </w:tcPr>
          <w:p w:rsidR="00562BF0" w:rsidRDefault="00562BF0" w:rsidP="000536AF">
            <w:pPr>
              <w:cnfStyle w:val="000000000000" w:firstRow="0" w:lastRow="0" w:firstColumn="0" w:lastColumn="0" w:oddVBand="0" w:evenVBand="0" w:oddHBand="0" w:evenHBand="0" w:firstRowFirstColumn="0" w:firstRowLastColumn="0" w:lastRowFirstColumn="0" w:lastRowLastColumn="0"/>
            </w:pPr>
            <w:r>
              <w:t>Set screw stop collar</w:t>
            </w:r>
          </w:p>
        </w:tc>
      </w:tr>
    </w:tbl>
    <w:p w:rsidR="00562BF0" w:rsidRDefault="00562BF0" w:rsidP="00562BF0">
      <w:pPr>
        <w:pStyle w:val="Caption"/>
      </w:pPr>
      <w:r>
        <w:t xml:space="preserve"> </w:t>
      </w:r>
      <w:bookmarkStart w:id="26" w:name="_Ref379377464"/>
      <w:proofErr w:type="gramStart"/>
      <w:r>
        <w:t xml:space="preserve">Figure </w:t>
      </w:r>
      <w:r w:rsidR="00D14AFE">
        <w:fldChar w:fldCharType="begin"/>
      </w:r>
      <w:r w:rsidR="00D14AFE">
        <w:instrText xml:space="preserve"> SEQ Figure \* ARABIC </w:instrText>
      </w:r>
      <w:r w:rsidR="00D14AFE">
        <w:fldChar w:fldCharType="separate"/>
      </w:r>
      <w:r w:rsidR="003129FA">
        <w:rPr>
          <w:noProof/>
        </w:rPr>
        <w:t>17</w:t>
      </w:r>
      <w:r w:rsidR="00D14AFE">
        <w:rPr>
          <w:noProof/>
        </w:rPr>
        <w:fldChar w:fldCharType="end"/>
      </w:r>
      <w:bookmarkEnd w:id="26"/>
      <w:r>
        <w:t>.</w:t>
      </w:r>
      <w:proofErr w:type="gramEnd"/>
      <w:r>
        <w:t xml:space="preserve">  Stop collar illustrations </w:t>
      </w:r>
      <w:r>
        <w:fldChar w:fldCharType="begin"/>
      </w:r>
      <w:r w:rsidR="00817F40">
        <w:instrText xml:space="preserve"> ADDIN EN.CITE &lt;EndNote&gt;&lt;Cite ExcludeYear="1"&gt;&lt;Author&gt;Antelope&lt;/Author&gt;&lt;Year&gt;2014&lt;/Year&gt;&lt;RecNum&gt;436&lt;/RecNum&gt;&lt;DisplayText&gt;[28]&lt;/DisplayText&gt;&lt;record&gt;&lt;rec-number&gt;436&lt;/rec-number&gt;&lt;foreign-keys&gt;&lt;key app="EN" db-id="rwzxp2sses9f5deexw8xe0tjf5f2wep0epv9"&gt;436&lt;/key&gt;&lt;/foreign-keys&gt;&lt;ref-type name="Web Page"&gt;12&lt;/ref-type&gt;&lt;contributors&gt;&lt;authors&gt;&lt;author&gt;Antelope&lt;/author&gt;&lt;/authors&gt;&lt;/contributors&gt;&lt;titles&gt;&lt;title&gt;Series 200 - Stop Collars&lt;/title&gt;&lt;/titles&gt;&lt;volume&gt;2014&lt;/volume&gt;&lt;number&gt;January, 27&lt;/number&gt;&lt;dates&gt;&lt;year&gt;2014&lt;/year&gt;&lt;/dates&gt;&lt;publisher&gt;Antelope Oil Tool&lt;/publisher&gt;&lt;urls&gt;&lt;related-urls&gt;&lt;url&gt;http://www.antelopeoiltool.com/products/series-200-stop-collars.html&lt;/url&gt;&lt;/related-urls&gt;&lt;/urls&gt;&lt;/record&gt;&lt;/Cite&gt;&lt;/EndNote&gt;</w:instrText>
      </w:r>
      <w:r>
        <w:fldChar w:fldCharType="separate"/>
      </w:r>
      <w:r w:rsidR="00817F40">
        <w:rPr>
          <w:noProof/>
        </w:rPr>
        <w:t>[</w:t>
      </w:r>
      <w:hyperlink w:anchor="_ENREF_28" w:tooltip="Antelope, 2014 #436" w:history="1">
        <w:r w:rsidR="00817F40">
          <w:rPr>
            <w:noProof/>
          </w:rPr>
          <w:t>28</w:t>
        </w:r>
      </w:hyperlink>
      <w:r w:rsidR="00817F40">
        <w:rPr>
          <w:noProof/>
        </w:rPr>
        <w:t>]</w:t>
      </w:r>
      <w:r>
        <w:fldChar w:fldCharType="end"/>
      </w:r>
    </w:p>
    <w:p w:rsidR="0060303C" w:rsidRDefault="00562BF0" w:rsidP="0060303C">
      <w:r>
        <w:t xml:space="preserve">In addition to centralizer spacing, installation patterns should also be considered.  Weatherford </w:t>
      </w:r>
      <w:r>
        <w:fldChar w:fldCharType="begin"/>
      </w:r>
      <w:r w:rsidR="00817F40">
        <w:instrText xml:space="preserve"> ADDIN EN.CITE &lt;EndNote&gt;&lt;Cite ExcludeYear="1"&gt;&lt;Author&gt;Weatherford&lt;/Author&gt;&lt;RecNum&gt;431&lt;/RecNum&gt;&lt;DisplayText&gt;[24]&lt;/DisplayText&gt;&lt;record&gt;&lt;rec-number&gt;431&lt;/rec-number&gt;&lt;foreign-keys&gt;&lt;key app="EN" db-id="rwzxp2sses9f5deexw8xe0tjf5f2wep0epv9"&gt;431&lt;/key&gt;&lt;/foreign-keys&gt;&lt;ref-type name="Pamphlet"&gt;24&lt;/ref-type&gt;&lt;contributors&gt;&lt;authors&gt;&lt;author&gt;Weatherford&lt;/author&gt;&lt;/authors&gt;&lt;/contributors&gt;&lt;titles&gt;&lt;title&gt;Mechanical Cementing Products&lt;/title&gt;&lt;/titles&gt;&lt;volume&gt;WFT017530&lt;/volume&gt;&lt;dates&gt;&lt;year&gt;2009&lt;/year&gt;&lt;/dates&gt;&lt;publisher&gt;Weatherford International Ltd.&lt;/publisher&gt;&lt;work-type&gt;Data Sheet&lt;/work-type&gt;&lt;urls&gt;&lt;related-urls&gt;&lt;url&gt;http://www.weatherford.com/weatherford/groups/web/documents/weatherfordcorp/WFT017530.pdf&lt;/url&gt;&lt;/related-urls&gt;&lt;/urls&gt;&lt;/record&gt;&lt;/Cite&gt;&lt;/EndNote&gt;</w:instrText>
      </w:r>
      <w:r>
        <w:fldChar w:fldCharType="separate"/>
      </w:r>
      <w:r w:rsidR="00817F40">
        <w:rPr>
          <w:noProof/>
        </w:rPr>
        <w:t>[</w:t>
      </w:r>
      <w:hyperlink w:anchor="_ENREF_24" w:tooltip="Weatherford, 2009 #431" w:history="1">
        <w:r w:rsidR="00817F40">
          <w:rPr>
            <w:noProof/>
          </w:rPr>
          <w:t>24</w:t>
        </w:r>
      </w:hyperlink>
      <w:r w:rsidR="00817F40">
        <w:rPr>
          <w:noProof/>
        </w:rPr>
        <w:t>]</w:t>
      </w:r>
      <w:r>
        <w:fldChar w:fldCharType="end"/>
      </w:r>
      <w:r>
        <w:t xml:space="preserve"> provides guidelines for patterns suitable for various conditions</w:t>
      </w:r>
      <w:r w:rsidR="001C26FC">
        <w:t xml:space="preserve"> </w:t>
      </w:r>
      <w:r w:rsidR="001C26FC">
        <w:fldChar w:fldCharType="begin"/>
      </w:r>
      <w:r w:rsidR="001C26FC">
        <w:instrText xml:space="preserve"> REF _Ref378585992 \h </w:instrText>
      </w:r>
      <w:r w:rsidR="001C26FC">
        <w:fldChar w:fldCharType="separate"/>
      </w:r>
      <w:r w:rsidR="003129FA">
        <w:t xml:space="preserve">Figure </w:t>
      </w:r>
      <w:r w:rsidR="003129FA">
        <w:rPr>
          <w:noProof/>
        </w:rPr>
        <w:t>18</w:t>
      </w:r>
      <w:r w:rsidR="001C26FC">
        <w:fldChar w:fldCharType="end"/>
      </w:r>
      <w:r>
        <w:t>.</w:t>
      </w:r>
      <w:r w:rsidR="001C26FC">
        <w:t xml:space="preserve"> </w:t>
      </w:r>
      <w:r>
        <w:t xml:space="preserve"> </w:t>
      </w:r>
      <w:r w:rsidR="0060303C">
        <w:t xml:space="preserve">For optimal centering in Case I, centralizers should be installed over stop collars.  This type of installation can be performed </w:t>
      </w:r>
      <w:r w:rsidR="00B42CB3">
        <w:t xml:space="preserve">prior to running the casing </w:t>
      </w:r>
      <w:r w:rsidR="0060303C">
        <w:t xml:space="preserve">and minimizes lost time.  It is not recommended for close tolerance situations.  Case II is well suited for centering in close-tolerance patterns.  This pattern can also be installed </w:t>
      </w:r>
      <w:r w:rsidR="00B42CB3">
        <w:t>prior to running the casing</w:t>
      </w:r>
      <w:r w:rsidR="0060303C">
        <w:t>.  In Case III, the centralizer is installed between a stop collar and casing coupling.  This allows the centralizer limited travel and requires only one stop collar per centralizer.  Case IV places centralizers over casing couplings and reduces annular flow area.  This arrangement is typically avoided.</w:t>
      </w:r>
    </w:p>
    <w:tbl>
      <w:tblPr>
        <w:tblStyle w:val="LightList-Accent1"/>
        <w:tblW w:w="0" w:type="auto"/>
        <w:tblLook w:val="0400" w:firstRow="0" w:lastRow="0" w:firstColumn="0" w:lastColumn="0" w:noHBand="0" w:noVBand="1"/>
      </w:tblPr>
      <w:tblGrid>
        <w:gridCol w:w="2394"/>
        <w:gridCol w:w="2394"/>
        <w:gridCol w:w="2394"/>
        <w:gridCol w:w="2394"/>
      </w:tblGrid>
      <w:tr w:rsidR="00562BF0" w:rsidTr="00D23335">
        <w:trPr>
          <w:cnfStyle w:val="000000100000" w:firstRow="0" w:lastRow="0" w:firstColumn="0" w:lastColumn="0" w:oddVBand="0" w:evenVBand="0" w:oddHBand="1" w:evenHBand="0" w:firstRowFirstColumn="0" w:firstRowLastColumn="0" w:lastRowFirstColumn="0" w:lastRowLastColumn="0"/>
        </w:trPr>
        <w:tc>
          <w:tcPr>
            <w:tcW w:w="2394" w:type="dxa"/>
          </w:tcPr>
          <w:p w:rsidR="00562BF0" w:rsidRDefault="00562BF0" w:rsidP="000536AF">
            <w:pPr>
              <w:jc w:val="center"/>
            </w:pPr>
            <w:r>
              <w:rPr>
                <w:noProof/>
              </w:rPr>
              <w:lastRenderedPageBreak/>
              <w:drawing>
                <wp:inline distT="0" distB="0" distL="0" distR="0" wp14:anchorId="6D8D9787" wp14:editId="6BFAFB0B">
                  <wp:extent cx="248574" cy="320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48574" cy="3200400"/>
                          </a:xfrm>
                          <a:prstGeom prst="rect">
                            <a:avLst/>
                          </a:prstGeom>
                        </pic:spPr>
                      </pic:pic>
                    </a:graphicData>
                  </a:graphic>
                </wp:inline>
              </w:drawing>
            </w:r>
          </w:p>
        </w:tc>
        <w:tc>
          <w:tcPr>
            <w:tcW w:w="2394" w:type="dxa"/>
          </w:tcPr>
          <w:p w:rsidR="00562BF0" w:rsidRDefault="00562BF0" w:rsidP="000536AF">
            <w:pPr>
              <w:jc w:val="center"/>
            </w:pPr>
            <w:r>
              <w:rPr>
                <w:noProof/>
              </w:rPr>
              <w:drawing>
                <wp:inline distT="0" distB="0" distL="0" distR="0" wp14:anchorId="167DCF82" wp14:editId="738E611A">
                  <wp:extent cx="249905" cy="320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49905" cy="3200400"/>
                          </a:xfrm>
                          <a:prstGeom prst="rect">
                            <a:avLst/>
                          </a:prstGeom>
                        </pic:spPr>
                      </pic:pic>
                    </a:graphicData>
                  </a:graphic>
                </wp:inline>
              </w:drawing>
            </w:r>
          </w:p>
        </w:tc>
        <w:tc>
          <w:tcPr>
            <w:tcW w:w="2394" w:type="dxa"/>
          </w:tcPr>
          <w:p w:rsidR="00562BF0" w:rsidRDefault="00562BF0" w:rsidP="000536AF">
            <w:pPr>
              <w:jc w:val="center"/>
            </w:pPr>
            <w:r>
              <w:rPr>
                <w:noProof/>
              </w:rPr>
              <w:drawing>
                <wp:inline distT="0" distB="0" distL="0" distR="0" wp14:anchorId="38300919" wp14:editId="25D9D814">
                  <wp:extent cx="280183" cy="32004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0183" cy="3200400"/>
                          </a:xfrm>
                          <a:prstGeom prst="rect">
                            <a:avLst/>
                          </a:prstGeom>
                        </pic:spPr>
                      </pic:pic>
                    </a:graphicData>
                  </a:graphic>
                </wp:inline>
              </w:drawing>
            </w:r>
          </w:p>
        </w:tc>
        <w:tc>
          <w:tcPr>
            <w:tcW w:w="2394" w:type="dxa"/>
          </w:tcPr>
          <w:p w:rsidR="00562BF0" w:rsidRDefault="00562BF0" w:rsidP="000536AF">
            <w:pPr>
              <w:jc w:val="center"/>
            </w:pPr>
            <w:r>
              <w:rPr>
                <w:noProof/>
              </w:rPr>
              <w:drawing>
                <wp:inline distT="0" distB="0" distL="0" distR="0" wp14:anchorId="3143427F" wp14:editId="7C5AC3B2">
                  <wp:extent cx="284391" cy="32004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84391" cy="3200400"/>
                          </a:xfrm>
                          <a:prstGeom prst="rect">
                            <a:avLst/>
                          </a:prstGeom>
                        </pic:spPr>
                      </pic:pic>
                    </a:graphicData>
                  </a:graphic>
                </wp:inline>
              </w:drawing>
            </w:r>
          </w:p>
        </w:tc>
      </w:tr>
      <w:tr w:rsidR="00562BF0" w:rsidTr="00D23335">
        <w:tc>
          <w:tcPr>
            <w:tcW w:w="2394" w:type="dxa"/>
          </w:tcPr>
          <w:p w:rsidR="00562BF0" w:rsidRPr="004177B3" w:rsidRDefault="00562BF0" w:rsidP="000536AF">
            <w:pPr>
              <w:jc w:val="center"/>
            </w:pPr>
            <w:r w:rsidRPr="004177B3">
              <w:t>Case I:</w:t>
            </w:r>
          </w:p>
          <w:p w:rsidR="00562BF0" w:rsidRDefault="00562BF0" w:rsidP="000536AF">
            <w:pPr>
              <w:jc w:val="center"/>
            </w:pPr>
            <w:r w:rsidRPr="004177B3">
              <w:t>Over</w:t>
            </w:r>
            <w:r>
              <w:t xml:space="preserve"> stop collars</w:t>
            </w:r>
          </w:p>
        </w:tc>
        <w:tc>
          <w:tcPr>
            <w:tcW w:w="2394" w:type="dxa"/>
          </w:tcPr>
          <w:p w:rsidR="00562BF0" w:rsidRPr="004177B3" w:rsidRDefault="00562BF0" w:rsidP="000536AF">
            <w:pPr>
              <w:jc w:val="center"/>
            </w:pPr>
            <w:r w:rsidRPr="004177B3">
              <w:t>Case II:</w:t>
            </w:r>
          </w:p>
          <w:p w:rsidR="00562BF0" w:rsidRDefault="00562BF0" w:rsidP="000536AF">
            <w:pPr>
              <w:jc w:val="center"/>
            </w:pPr>
            <w:r w:rsidRPr="004177B3">
              <w:t>Between</w:t>
            </w:r>
            <w:r>
              <w:t xml:space="preserve"> </w:t>
            </w:r>
            <w:r w:rsidRPr="004177B3">
              <w:t>stop collars</w:t>
            </w:r>
          </w:p>
        </w:tc>
        <w:tc>
          <w:tcPr>
            <w:tcW w:w="2394" w:type="dxa"/>
          </w:tcPr>
          <w:p w:rsidR="00562BF0" w:rsidRPr="004177B3" w:rsidRDefault="00562BF0" w:rsidP="000536AF">
            <w:pPr>
              <w:jc w:val="center"/>
            </w:pPr>
            <w:r w:rsidRPr="004177B3">
              <w:t>Case III:</w:t>
            </w:r>
          </w:p>
          <w:p w:rsidR="00562BF0" w:rsidRPr="004177B3" w:rsidRDefault="00562BF0" w:rsidP="000536AF">
            <w:pPr>
              <w:jc w:val="center"/>
            </w:pPr>
            <w:r w:rsidRPr="004177B3">
              <w:t>Between couplings</w:t>
            </w:r>
          </w:p>
          <w:p w:rsidR="00562BF0" w:rsidRDefault="00562BF0" w:rsidP="000536AF">
            <w:pPr>
              <w:jc w:val="center"/>
            </w:pPr>
            <w:r w:rsidRPr="004177B3">
              <w:t>and stop collars</w:t>
            </w:r>
          </w:p>
        </w:tc>
        <w:tc>
          <w:tcPr>
            <w:tcW w:w="2394" w:type="dxa"/>
          </w:tcPr>
          <w:p w:rsidR="00562BF0" w:rsidRPr="004177B3" w:rsidRDefault="00562BF0" w:rsidP="000536AF">
            <w:pPr>
              <w:jc w:val="center"/>
            </w:pPr>
            <w:r w:rsidRPr="004177B3">
              <w:t>Case IV:</w:t>
            </w:r>
          </w:p>
          <w:p w:rsidR="00562BF0" w:rsidRPr="004177B3" w:rsidRDefault="00562BF0" w:rsidP="000536AF">
            <w:pPr>
              <w:jc w:val="center"/>
            </w:pPr>
            <w:r w:rsidRPr="004177B3">
              <w:t>Over couplings</w:t>
            </w:r>
          </w:p>
          <w:p w:rsidR="00562BF0" w:rsidRDefault="00562BF0" w:rsidP="000536AF">
            <w:pPr>
              <w:jc w:val="center"/>
            </w:pPr>
          </w:p>
        </w:tc>
      </w:tr>
    </w:tbl>
    <w:p w:rsidR="00562BF0" w:rsidRDefault="00562BF0" w:rsidP="00562BF0">
      <w:pPr>
        <w:pStyle w:val="Caption"/>
      </w:pPr>
      <w:bookmarkStart w:id="27" w:name="_Ref378585992"/>
      <w:proofErr w:type="gramStart"/>
      <w:r>
        <w:t xml:space="preserve">Figure </w:t>
      </w:r>
      <w:r w:rsidR="00D14AFE">
        <w:fldChar w:fldCharType="begin"/>
      </w:r>
      <w:r w:rsidR="00D14AFE">
        <w:instrText xml:space="preserve"> SEQ Figure \* ARABIC </w:instrText>
      </w:r>
      <w:r w:rsidR="00D14AFE">
        <w:fldChar w:fldCharType="separate"/>
      </w:r>
      <w:r w:rsidR="003129FA">
        <w:rPr>
          <w:noProof/>
        </w:rPr>
        <w:t>18</w:t>
      </w:r>
      <w:r w:rsidR="00D14AFE">
        <w:rPr>
          <w:noProof/>
        </w:rPr>
        <w:fldChar w:fldCharType="end"/>
      </w:r>
      <w:bookmarkEnd w:id="27"/>
      <w:r>
        <w:t>.</w:t>
      </w:r>
      <w:proofErr w:type="gramEnd"/>
      <w:r>
        <w:t xml:space="preserve">  Recommended installation patterns </w:t>
      </w:r>
      <w:r>
        <w:fldChar w:fldCharType="begin"/>
      </w:r>
      <w:r w:rsidR="00817F40">
        <w:instrText xml:space="preserve"> ADDIN EN.CITE &lt;EndNote&gt;&lt;Cite&gt;&lt;Author&gt;Weatherford&lt;/Author&gt;&lt;Year&gt;2009&lt;/Year&gt;&lt;RecNum&gt;431&lt;/RecNum&gt;&lt;DisplayText&gt;[24]&lt;/DisplayText&gt;&lt;record&gt;&lt;rec-number&gt;431&lt;/rec-number&gt;&lt;foreign-keys&gt;&lt;key app="EN" db-id="rwzxp2sses9f5deexw8xe0tjf5f2wep0epv9"&gt;431&lt;/key&gt;&lt;/foreign-keys&gt;&lt;ref-type name="Pamphlet"&gt;24&lt;/ref-type&gt;&lt;contributors&gt;&lt;authors&gt;&lt;author&gt;Weatherford&lt;/author&gt;&lt;/authors&gt;&lt;/contributors&gt;&lt;titles&gt;&lt;title&gt;Mechanical Cementing Products&lt;/title&gt;&lt;/titles&gt;&lt;volume&gt;WFT017530&lt;/volume&gt;&lt;dates&gt;&lt;year&gt;2009&lt;/year&gt;&lt;/dates&gt;&lt;publisher&gt;Weatherford International Ltd.&lt;/publisher&gt;&lt;work-type&gt;Data Sheet&lt;/work-type&gt;&lt;urls&gt;&lt;related-urls&gt;&lt;url&gt;http://www.weatherford.com/weatherford/groups/web/documents/weatherfordcorp/WFT017530.pdf&lt;/url&gt;&lt;/related-urls&gt;&lt;/urls&gt;&lt;/record&gt;&lt;/Cite&gt;&lt;/EndNote&gt;</w:instrText>
      </w:r>
      <w:r>
        <w:fldChar w:fldCharType="separate"/>
      </w:r>
      <w:r w:rsidR="00817F40">
        <w:rPr>
          <w:noProof/>
        </w:rPr>
        <w:t>[</w:t>
      </w:r>
      <w:hyperlink w:anchor="_ENREF_24" w:tooltip="Weatherford, 2009 #431" w:history="1">
        <w:r w:rsidR="00817F40">
          <w:rPr>
            <w:noProof/>
          </w:rPr>
          <w:t>24</w:t>
        </w:r>
      </w:hyperlink>
      <w:r w:rsidR="00817F40">
        <w:rPr>
          <w:noProof/>
        </w:rPr>
        <w:t>]</w:t>
      </w:r>
      <w:r>
        <w:fldChar w:fldCharType="end"/>
      </w:r>
    </w:p>
    <w:p w:rsidR="003A597C" w:rsidRDefault="003A597C" w:rsidP="003A597C">
      <w:pPr>
        <w:pStyle w:val="Heading2"/>
      </w:pPr>
      <w:r>
        <w:t>Why wouldn’t I use centralizers?</w:t>
      </w:r>
    </w:p>
    <w:p w:rsidR="00481EF6" w:rsidRDefault="00437703" w:rsidP="00C71390">
      <w:r>
        <w:t>T</w:t>
      </w:r>
      <w:r w:rsidR="00481EF6">
        <w:t xml:space="preserve">he importance of using centralizers in achieving good cementing results is well known, </w:t>
      </w:r>
      <w:r>
        <w:t xml:space="preserve">however, </w:t>
      </w:r>
      <w:r w:rsidR="00481EF6">
        <w:t xml:space="preserve">they are often used with less than optimum placement due to fears of the inability to </w:t>
      </w:r>
      <w:r w:rsidR="003B4AD3">
        <w:t>the casing point.</w:t>
      </w:r>
      <w:r w:rsidR="00481EF6">
        <w:t xml:space="preserve"> </w:t>
      </w:r>
      <w:r w:rsidR="00C74715">
        <w:fldChar w:fldCharType="begin"/>
      </w:r>
      <w:r w:rsidR="00DE71EA">
        <w:instrText xml:space="preserve"> ADDIN EN.CITE &lt;EndNote&gt;&lt;Cite&gt;&lt;Author&gt;Kinzel&lt;/Author&gt;&lt;Year&gt;1998&lt;/Year&gt;&lt;RecNum&gt;424&lt;/RecNum&gt;&lt;DisplayText&gt;[4]&lt;/DisplayText&gt;&lt;record&gt;&lt;rec-number&gt;424&lt;/rec-number&gt;&lt;foreign-keys&gt;&lt;key app="EN" db-id="rwzxp2sses9f5deexw8xe0tjf5f2wep0epv9"&gt;424&lt;/key&gt;&lt;/foreign-keys&gt;&lt;ref-type name="Conference Paper"&gt;47&lt;/ref-type&gt;&lt;contributors&gt;&lt;authors&gt;&lt;author&gt;Kinzel, Holger&lt;/author&gt;&lt;author&gt;Martens, James G.&lt;/author&gt;&lt;/authors&gt;&lt;/contributors&gt;&lt;titles&gt;&lt;title&gt;The Application of New Centralizer Types to Improve Zone Isolation in Horizontal Wells&lt;/title&gt;&lt;secondary-title&gt;SPE International Oil and Gas Conference and Exhibition in China,&lt;/secondary-title&gt;&lt;/titles&gt;&lt;number&gt;SPE-50438-MS&lt;/number&gt;&lt;dates&gt;&lt;year&gt;1998&lt;/year&gt;&lt;/dates&gt;&lt;pub-location&gt;Beijing, China&lt;/pub-location&gt;&lt;publisher&gt;Society of Petroleum Engineers&lt;/publisher&gt;&lt;urls&gt;&lt;/urls&gt;&lt;electronic-resource-num&gt;http://dx.doi.org/10.2118/50438-MS&lt;/electronic-resource-num&gt;&lt;/record&gt;&lt;/Cite&gt;&lt;/EndNote&gt;</w:instrText>
      </w:r>
      <w:r w:rsidR="00C74715">
        <w:fldChar w:fldCharType="separate"/>
      </w:r>
      <w:r w:rsidR="00DE71EA">
        <w:rPr>
          <w:noProof/>
        </w:rPr>
        <w:t>[</w:t>
      </w:r>
      <w:hyperlink w:anchor="_ENREF_4" w:tooltip="Kinzel, 1998 #424" w:history="1">
        <w:r w:rsidR="00817F40">
          <w:rPr>
            <w:noProof/>
          </w:rPr>
          <w:t>4</w:t>
        </w:r>
      </w:hyperlink>
      <w:r w:rsidR="00DE71EA">
        <w:rPr>
          <w:noProof/>
        </w:rPr>
        <w:t>]</w:t>
      </w:r>
      <w:r w:rsidR="00C74715">
        <w:fldChar w:fldCharType="end"/>
      </w:r>
      <w:r w:rsidR="00481EF6">
        <w:t>.  Bow spring centralizers have worked well in traditional low angle and vertical wells, but extended reach and horizontal wells require more specialized centralizers.</w:t>
      </w:r>
    </w:p>
    <w:p w:rsidR="00554D10" w:rsidRDefault="00C71390" w:rsidP="00444E76">
      <w:r>
        <w:t xml:space="preserve">The flexible bows create a restoring force that creates separation between the casing and wellbore.  The restoring </w:t>
      </w:r>
      <w:proofErr w:type="gramStart"/>
      <w:r>
        <w:t>force,</w:t>
      </w:r>
      <w:proofErr w:type="gramEnd"/>
      <w:r>
        <w:t xml:space="preserve"> however cr</w:t>
      </w:r>
      <w:r w:rsidR="00C1633F">
        <w:t>e</w:t>
      </w:r>
      <w:r>
        <w:t>ates a friction force between the casing and the wall.  This runn</w:t>
      </w:r>
      <w:r w:rsidR="00444E76">
        <w:t xml:space="preserve">ing force adds considerable drag and </w:t>
      </w:r>
      <w:r w:rsidR="003B4AD3">
        <w:t xml:space="preserve">can </w:t>
      </w:r>
      <w:r w:rsidR="00444E76">
        <w:t xml:space="preserve">prevent running casing to </w:t>
      </w:r>
      <w:r w:rsidR="003B4AD3">
        <w:t>the desired casing point</w:t>
      </w:r>
      <w:r w:rsidR="00444E76">
        <w:t>.</w:t>
      </w:r>
    </w:p>
    <w:p w:rsidR="009B1F75" w:rsidRDefault="00652A3E" w:rsidP="009A5560">
      <w:r>
        <w:t xml:space="preserve">Horizontal and extended reach wells present increased challenges to getting casing to bottom compared to vertical wells.  Casing in high angle sections will have to be pushed into the hole rather </w:t>
      </w:r>
      <w:r w:rsidR="007C3D7A">
        <w:t xml:space="preserve">than allowing them to slide </w:t>
      </w:r>
      <w:r>
        <w:t>down with gravity.</w:t>
      </w:r>
      <w:r w:rsidR="007C3D7A">
        <w:t xml:space="preserve">  The need to push the casing through the hole can lead to buckling of the casing as it is run.</w:t>
      </w:r>
      <w:r w:rsidR="00E74C67">
        <w:t xml:space="preserve">  For casing to slide down the hole, the axial force must b</w:t>
      </w:r>
      <w:r w:rsidR="007C3D7A">
        <w:t xml:space="preserve">e greater than the drag force.  If the axial compressive forces are large enough, sinusoidal buckling in the casing can occur.  Beyond sinusoidal buckling, helical buckling can also become a concern.  In helical buckling, additional side forces can be significant </w:t>
      </w:r>
      <w:r w:rsidR="007C3D7A">
        <w:fldChar w:fldCharType="begin"/>
      </w:r>
      <w:r w:rsidR="00817F40">
        <w:instrText xml:space="preserve"> ADDIN EN.CITE &lt;EndNote&gt;&lt;Cite&gt;&lt;Author&gt;Sanchez&lt;/Author&gt;&lt;Year&gt;2012&lt;/Year&gt;&lt;RecNum&gt;404&lt;/RecNum&gt;&lt;DisplayText&gt;[17]&lt;/DisplayText&gt;&lt;record&gt;&lt;rec-number&gt;404&lt;/rec-number&gt;&lt;foreign-keys&gt;&lt;key app="EN" db-id="rwzxp2sses9f5deexw8xe0tjf5f2wep0epv9"&gt;404&lt;/key&gt;&lt;/foreign-keys&gt;&lt;ref-type name="Conference Paper"&gt;47&lt;/ref-type&gt;&lt;contributors&gt;&lt;authors&gt;&lt;author&gt;Renato Alfredo Sanchez&lt;/author&gt;&lt;author&gt;Whitney Adams&lt;/author&gt;&lt;/authors&gt;&lt;/contributors&gt;&lt;titles&gt;&lt;title&gt;Casing Centralization in Horizontal and Extended Reach Wells&lt;/title&gt;&lt;secondary-title&gt;SPE/EAGE European Unconventional Resources Conference and Exhibition&lt;/secondary-title&gt;&lt;/titles&gt;&lt;dates&gt;&lt;year&gt;2012&lt;/year&gt;&lt;pub-dates&gt;&lt;date&gt;20-22 March 2012&lt;/date&gt;&lt;/pub-dates&gt;&lt;/dates&gt;&lt;pub-location&gt;Vienna, Austria&lt;/pub-location&gt;&lt;publisher&gt;Society of Petroleum Engineers&lt;/publisher&gt;&lt;accession-num&gt;SPE-150317-MS&lt;/accession-num&gt;&lt;urls&gt;&lt;related-urls&gt;&lt;url&gt;http://www.onepetro.org/mslib/app/Preview.do?paperNumber=SPE-150317-MS&amp;amp;societyCode=SPE&lt;/url&gt;&lt;/related-urls&gt;&lt;/urls&gt;&lt;electronic-resource-num&gt;10.2118/150317-ms&lt;/electronic-resource-num&gt;&lt;remote-database-name&gt;OnePetro&lt;/remote-database-name&gt;&lt;language&gt;English&lt;/language&gt;&lt;/record&gt;&lt;/Cite&gt;&lt;/EndNote&gt;</w:instrText>
      </w:r>
      <w:r w:rsidR="007C3D7A">
        <w:fldChar w:fldCharType="separate"/>
      </w:r>
      <w:r w:rsidR="00817F40">
        <w:rPr>
          <w:noProof/>
        </w:rPr>
        <w:t>[</w:t>
      </w:r>
      <w:hyperlink w:anchor="_ENREF_17" w:tooltip="Sanchez, 2012 #404" w:history="1">
        <w:r w:rsidR="00817F40">
          <w:rPr>
            <w:noProof/>
          </w:rPr>
          <w:t>17</w:t>
        </w:r>
      </w:hyperlink>
      <w:r w:rsidR="00817F40">
        <w:rPr>
          <w:noProof/>
        </w:rPr>
        <w:t>]</w:t>
      </w:r>
      <w:r w:rsidR="007C3D7A">
        <w:fldChar w:fldCharType="end"/>
      </w:r>
      <w:r w:rsidR="007C3D7A">
        <w:t>.</w:t>
      </w:r>
    </w:p>
    <w:p w:rsidR="009A5560" w:rsidRDefault="004C3CB1" w:rsidP="009A5560">
      <w:r>
        <w:t xml:space="preserve">Additionally, there are known cases of centralizers being damaged or destroyed while running casing.  </w:t>
      </w:r>
      <w:r w:rsidR="007C3D7A">
        <w:t xml:space="preserve">A field study by </w:t>
      </w:r>
      <w:r w:rsidR="007C3D7A">
        <w:fldChar w:fldCharType="begin"/>
      </w:r>
      <w:r w:rsidR="00817F40">
        <w:instrText xml:space="preserve"> ADDIN EN.CITE &lt;EndNote&gt;&lt;Cite ExcludeYear="1"&gt;&lt;Author&gt;Peterson&lt;/Author&gt;&lt;RecNum&gt;412&lt;/RecNum&gt;&lt;DisplayText&gt;[29]&lt;/DisplayText&gt;&lt;record&gt;&lt;rec-number&gt;412&lt;/rec-number&gt;&lt;foreign-keys&gt;&lt;key app="EN" db-id="rwzxp2sses9f5deexw8xe0tjf5f2wep0epv9"&gt;412&lt;/key&gt;&lt;/foreign-keys&gt;&lt;ref-type name="Report"&gt;27&lt;/ref-type&gt;&lt;contributors&gt;&lt;authors&gt;&lt;author&gt;Peterson, Erick Martin&lt;/author&gt;&lt;author&gt;Greener, Micheal Rodney&lt;/author&gt;&lt;author&gt;Davis, Eric Robert&lt;/author&gt;&lt;author&gt;Craig, Daniel&lt;/author&gt;&lt;/authors&gt;&lt;/contributors&gt;&lt;titles&gt;&lt;title&gt;How Much is Left of Your Centralizer After Exiting a Casing Window in an Extended Reach Horizontal Multi-Lateral? Modeling, Yard Tests, and Field Results from Alaska&amp;apos;s West Sak Development&lt;/title&gt;&lt;/titles&gt;&lt;dates&gt;&lt;/dates&gt;&lt;urls&gt;&lt;/urls&gt;&lt;/record&gt;&lt;/Cite&gt;&lt;/EndNote&gt;</w:instrText>
      </w:r>
      <w:r w:rsidR="007C3D7A">
        <w:fldChar w:fldCharType="separate"/>
      </w:r>
      <w:r w:rsidR="00817F40">
        <w:rPr>
          <w:noProof/>
        </w:rPr>
        <w:t>[</w:t>
      </w:r>
      <w:hyperlink w:anchor="_ENREF_29" w:tooltip="Peterson,  #412" w:history="1">
        <w:r w:rsidR="00817F40">
          <w:rPr>
            <w:noProof/>
          </w:rPr>
          <w:t>29</w:t>
        </w:r>
      </w:hyperlink>
      <w:r w:rsidR="00817F40">
        <w:rPr>
          <w:noProof/>
        </w:rPr>
        <w:t>]</w:t>
      </w:r>
      <w:r w:rsidR="007C3D7A">
        <w:fldChar w:fldCharType="end"/>
      </w:r>
      <w:r w:rsidR="007C3D7A">
        <w:t xml:space="preserve"> showed that centralizers are susceptible to damage while being run, especially as they exit casing.  They discovered several failures of centralizers run on liners in the transition from intermediate casing to the horizontal lateral.  Several types of rigid centralizers were tested in the lab to </w:t>
      </w:r>
      <w:r w:rsidR="007C3D7A">
        <w:lastRenderedPageBreak/>
        <w:t>determine the failure mechanisms.  They concluded that a variety of factors can affect centralizer performance including the blade shape and the diameter relative to the opening.</w:t>
      </w:r>
    </w:p>
    <w:p w:rsidR="00501E0B" w:rsidRDefault="00501E0B" w:rsidP="00D61E2C">
      <w:pPr>
        <w:pStyle w:val="Heading2"/>
      </w:pPr>
      <w:r>
        <w:t xml:space="preserve">Alternative </w:t>
      </w:r>
      <w:r w:rsidR="00903994">
        <w:t>c</w:t>
      </w:r>
      <w:r w:rsidR="00903994">
        <w:t>entralizers</w:t>
      </w:r>
    </w:p>
    <w:p w:rsidR="00EC2ACB" w:rsidRDefault="00D64E81" w:rsidP="00EC2ACB">
      <w:r>
        <w:t xml:space="preserve">A case study of a downhole-activated centralizer (DAC) was presented by </w:t>
      </w:r>
      <w:r>
        <w:fldChar w:fldCharType="begin"/>
      </w:r>
      <w:r w:rsidR="00817F40">
        <w:instrText xml:space="preserve"> ADDIN EN.CITE &lt;EndNote&gt;&lt;Cite&gt;&lt;Author&gt;Kinzel&lt;/Author&gt;&lt;Year&gt;1995&lt;/Year&gt;&lt;RecNum&gt;419&lt;/RecNum&gt;&lt;DisplayText&gt;[30]&lt;/DisplayText&gt;&lt;record&gt;&lt;rec-number&gt;419&lt;/rec-number&gt;&lt;foreign-keys&gt;&lt;key app="EN" db-id="rwzxp2sses9f5deexw8xe0tjf5f2wep0epv9"&gt;419&lt;/key&gt;&lt;/foreign-keys&gt;&lt;ref-type name="Journal Article"&gt;17&lt;/ref-type&gt;&lt;contributors&gt;&lt;authors&gt;&lt;author&gt;Kinzel, Holger&lt;/author&gt;&lt;author&gt;Calderoni, Angelo&lt;/author&gt;&lt;/authors&gt;&lt;/contributors&gt;&lt;titles&gt;&lt;title&gt;Field Test of a Downhole-Activated Centralizer To Reduce Casing Drag&lt;/title&gt;&lt;secondary-title&gt;SPE Drilling &amp;amp; Completion&lt;/secondary-title&gt;&lt;/titles&gt;&lt;periodical&gt;&lt;full-title&gt;SPE Drilling &amp;amp; Completion&lt;/full-title&gt;&lt;/periodical&gt;&lt;pages&gt;112-114&lt;/pages&gt;&lt;volume&gt;10&lt;/volume&gt;&lt;number&gt;02&lt;/number&gt;&lt;dates&gt;&lt;year&gt;1995&lt;/year&gt;&lt;/dates&gt;&lt;isbn&gt;1064-6671&lt;/isbn&gt;&lt;urls&gt;&lt;/urls&gt;&lt;/record&gt;&lt;/Cite&gt;&lt;/EndNote&gt;</w:instrText>
      </w:r>
      <w:r>
        <w:fldChar w:fldCharType="separate"/>
      </w:r>
      <w:r w:rsidR="00817F40">
        <w:rPr>
          <w:noProof/>
        </w:rPr>
        <w:t>[</w:t>
      </w:r>
      <w:hyperlink w:anchor="_ENREF_30" w:tooltip="Kinzel, 1995 #419" w:history="1">
        <w:r w:rsidR="00817F40">
          <w:rPr>
            <w:noProof/>
          </w:rPr>
          <w:t>30</w:t>
        </w:r>
      </w:hyperlink>
      <w:r w:rsidR="00817F40">
        <w:rPr>
          <w:noProof/>
        </w:rPr>
        <w:t>]</w:t>
      </w:r>
      <w:r>
        <w:fldChar w:fldCharType="end"/>
      </w:r>
      <w:r>
        <w:t>.  The centralizer was designed for use in highly inclined wells and other restrictions such as close tolerance wellheads.  It was designed to be activated with external hydraulic pressure, temperature, or by chemical reaction.  The activated centralizers were tested in two offshore wells near Italy.</w:t>
      </w:r>
    </w:p>
    <w:p w:rsidR="00AC5DA0" w:rsidRDefault="00532FF7" w:rsidP="00EC2ACB">
      <w:r>
        <w:t>The DAC was designed to allow optimum standoff in applications where conventional centralizers reach their limits.  The centralizer has a low running force and is activated downhole once the</w:t>
      </w:r>
      <w:r w:rsidR="00F15F45">
        <w:t xml:space="preserve"> casing is in place.  The DAC is based upon a conventional non-weld bow centralizer.  The bows are held down in the running position with a steel band.  A lock is used to hold the band in place until the mechanism is activated.</w:t>
      </w:r>
      <w:r w:rsidR="00AC5DA0">
        <w:t xml:space="preserve">  </w:t>
      </w:r>
    </w:p>
    <w:p w:rsidR="00AC5DA0" w:rsidRDefault="00AC5DA0" w:rsidP="00EC2ACB">
      <w:r>
        <w:t xml:space="preserve">The downhole activated centralizers were tested in two development wells.  Centralizer spacing was </w:t>
      </w:r>
      <w:r w:rsidR="000B22C7">
        <w:t>computed based on API 10D</w:t>
      </w:r>
      <w:r w:rsidR="0093480E">
        <w:t>-2</w:t>
      </w:r>
      <w:r w:rsidR="000B22C7">
        <w:t>.</w:t>
      </w:r>
      <w:r w:rsidR="00CE5C07">
        <w:t xml:space="preserve">  Field tests showed the effectiveness of dow</w:t>
      </w:r>
      <w:r w:rsidR="00544837">
        <w:t>n</w:t>
      </w:r>
      <w:r w:rsidR="00CE5C07">
        <w:t xml:space="preserve">hole activated centralizers.  The measured hook load was in line with predicted hook load indicating the centralizers deployed as predicted. </w:t>
      </w:r>
      <w:r w:rsidR="005D6DBE">
        <w:t xml:space="preserve"> The drag forces were reduced, but the restoring force was still limited by the bow-spring design.</w:t>
      </w:r>
    </w:p>
    <w:p w:rsidR="002D310A" w:rsidRDefault="002D310A" w:rsidP="00EC2ACB">
      <w:r>
        <w:rPr>
          <w:noProof/>
        </w:rPr>
        <w:drawing>
          <wp:inline distT="0" distB="0" distL="0" distR="0" wp14:anchorId="445EC685" wp14:editId="02F2BC9A">
            <wp:extent cx="4375064" cy="3739580"/>
            <wp:effectExtent l="19050" t="19050" r="2603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clrChange>
                        <a:clrFrom>
                          <a:srgbClr val="FFFFFF"/>
                        </a:clrFrom>
                        <a:clrTo>
                          <a:srgbClr val="FFFFFF">
                            <a:alpha val="0"/>
                          </a:srgbClr>
                        </a:clrTo>
                      </a:clrChange>
                    </a:blip>
                    <a:srcRect l="26937" t="21314" r="20077" b="5128"/>
                    <a:stretch/>
                  </pic:blipFill>
                  <pic:spPr bwMode="auto">
                    <a:xfrm>
                      <a:off x="0" y="0"/>
                      <a:ext cx="4375054" cy="373957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D01661" w:rsidRDefault="00D01661" w:rsidP="00D01661">
      <w:pPr>
        <w:pStyle w:val="Caption"/>
      </w:pPr>
      <w:proofErr w:type="gramStart"/>
      <w:r>
        <w:t xml:space="preserve">Figure </w:t>
      </w:r>
      <w:r w:rsidR="00D14AFE">
        <w:fldChar w:fldCharType="begin"/>
      </w:r>
      <w:r w:rsidR="00D14AFE">
        <w:instrText xml:space="preserve"> SEQ Figure \* ARABIC </w:instrText>
      </w:r>
      <w:r w:rsidR="00D14AFE">
        <w:fldChar w:fldCharType="separate"/>
      </w:r>
      <w:r w:rsidR="003129FA">
        <w:rPr>
          <w:noProof/>
        </w:rPr>
        <w:t>19</w:t>
      </w:r>
      <w:r w:rsidR="00D14AFE">
        <w:rPr>
          <w:noProof/>
        </w:rPr>
        <w:fldChar w:fldCharType="end"/>
      </w:r>
      <w:r>
        <w:t>.</w:t>
      </w:r>
      <w:proofErr w:type="gramEnd"/>
      <w:r>
        <w:t xml:space="preserve">  Downhole activated centralizer </w:t>
      </w:r>
      <w:r w:rsidR="00C84A4C">
        <w:fldChar w:fldCharType="begin"/>
      </w:r>
      <w:r w:rsidR="00817F40">
        <w:instrText xml:space="preserve"> ADDIN EN.CITE &lt;EndNote&gt;&lt;Cite&gt;&lt;Author&gt;Kinzel&lt;/Author&gt;&lt;Year&gt;1995&lt;/Year&gt;&lt;RecNum&gt;419&lt;/RecNum&gt;&lt;DisplayText&gt;[30]&lt;/DisplayText&gt;&lt;record&gt;&lt;rec-number&gt;419&lt;/rec-number&gt;&lt;foreign-keys&gt;&lt;key app="EN" db-id="rwzxp2sses9f5deexw8xe0tjf5f2wep0epv9"&gt;419&lt;/key&gt;&lt;/foreign-keys&gt;&lt;ref-type name="Journal Article"&gt;17&lt;/ref-type&gt;&lt;contributors&gt;&lt;authors&gt;&lt;author&gt;Kinzel, Holger&lt;/author&gt;&lt;author&gt;Calderoni, Angelo&lt;/author&gt;&lt;/authors&gt;&lt;/contributors&gt;&lt;titles&gt;&lt;title&gt;Field Test of a Downhole-Activated Centralizer To Reduce Casing Drag&lt;/title&gt;&lt;secondary-title&gt;SPE Drilling &amp;amp; Completion&lt;/secondary-title&gt;&lt;/titles&gt;&lt;periodical&gt;&lt;full-title&gt;SPE Drilling &amp;amp; Completion&lt;/full-title&gt;&lt;/periodical&gt;&lt;pages&gt;112-114&lt;/pages&gt;&lt;volume&gt;10&lt;/volume&gt;&lt;number&gt;02&lt;/number&gt;&lt;dates&gt;&lt;year&gt;1995&lt;/year&gt;&lt;/dates&gt;&lt;isbn&gt;1064-6671&lt;/isbn&gt;&lt;urls&gt;&lt;/urls&gt;&lt;/record&gt;&lt;/Cite&gt;&lt;/EndNote&gt;</w:instrText>
      </w:r>
      <w:r w:rsidR="00C84A4C">
        <w:fldChar w:fldCharType="separate"/>
      </w:r>
      <w:r w:rsidR="00817F40">
        <w:rPr>
          <w:noProof/>
        </w:rPr>
        <w:t>[</w:t>
      </w:r>
      <w:hyperlink w:anchor="_ENREF_30" w:tooltip="Kinzel, 1995 #419" w:history="1">
        <w:r w:rsidR="00817F40">
          <w:rPr>
            <w:noProof/>
          </w:rPr>
          <w:t>30</w:t>
        </w:r>
      </w:hyperlink>
      <w:r w:rsidR="00817F40">
        <w:rPr>
          <w:noProof/>
        </w:rPr>
        <w:t>]</w:t>
      </w:r>
      <w:r w:rsidR="00C84A4C">
        <w:fldChar w:fldCharType="end"/>
      </w:r>
    </w:p>
    <w:p w:rsidR="00D51C97" w:rsidRDefault="002D310A" w:rsidP="00EC2ACB">
      <w:proofErr w:type="spellStart"/>
      <w:r>
        <w:lastRenderedPageBreak/>
        <w:t>Kinzel</w:t>
      </w:r>
      <w:proofErr w:type="spellEnd"/>
      <w:r>
        <w:t xml:space="preserve"> et al </w:t>
      </w:r>
      <w:r w:rsidR="00C84A4C">
        <w:fldChar w:fldCharType="begin"/>
      </w:r>
      <w:r w:rsidR="00DE71EA">
        <w:instrText xml:space="preserve"> ADDIN EN.CITE &lt;EndNote&gt;&lt;Cite&gt;&lt;Author&gt;Kinzel&lt;/Author&gt;&lt;Year&gt;1998&lt;/Year&gt;&lt;RecNum&gt;424&lt;/RecNum&gt;&lt;DisplayText&gt;[4]&lt;/DisplayText&gt;&lt;record&gt;&lt;rec-number&gt;424&lt;/rec-number&gt;&lt;foreign-keys&gt;&lt;key app="EN" db-id="rwzxp2sses9f5deexw8xe0tjf5f2wep0epv9"&gt;424&lt;/key&gt;&lt;/foreign-keys&gt;&lt;ref-type name="Conference Paper"&gt;47&lt;/ref-type&gt;&lt;contributors&gt;&lt;authors&gt;&lt;author&gt;Kinzel, Holger&lt;/author&gt;&lt;author&gt;Martens, James G.&lt;/author&gt;&lt;/authors&gt;&lt;/contributors&gt;&lt;titles&gt;&lt;title&gt;The Application of New Centralizer Types to Improve Zone Isolation in Horizontal Wells&lt;/title&gt;&lt;secondary-title&gt;SPE International Oil and Gas Conference and Exhibition in China,&lt;/secondary-title&gt;&lt;/titles&gt;&lt;number&gt;SPE-50438-MS&lt;/number&gt;&lt;dates&gt;&lt;year&gt;1998&lt;/year&gt;&lt;/dates&gt;&lt;pub-location&gt;Beijing, China&lt;/pub-location&gt;&lt;publisher&gt;Society of Petroleum Engineers&lt;/publisher&gt;&lt;urls&gt;&lt;/urls&gt;&lt;electronic-resource-num&gt;http://dx.doi.org/10.2118/50438-MS&lt;/electronic-resource-num&gt;&lt;/record&gt;&lt;/Cite&gt;&lt;/EndNote&gt;</w:instrText>
      </w:r>
      <w:r w:rsidR="00C84A4C">
        <w:fldChar w:fldCharType="separate"/>
      </w:r>
      <w:r w:rsidR="00DE71EA">
        <w:rPr>
          <w:noProof/>
        </w:rPr>
        <w:t>[</w:t>
      </w:r>
      <w:hyperlink w:anchor="_ENREF_4" w:tooltip="Kinzel, 1998 #424" w:history="1">
        <w:r w:rsidR="00817F40">
          <w:rPr>
            <w:noProof/>
          </w:rPr>
          <w:t>4</w:t>
        </w:r>
      </w:hyperlink>
      <w:r w:rsidR="00DE71EA">
        <w:rPr>
          <w:noProof/>
        </w:rPr>
        <w:t>]</w:t>
      </w:r>
      <w:r w:rsidR="00C84A4C">
        <w:fldChar w:fldCharType="end"/>
      </w:r>
      <w:r>
        <w:t xml:space="preserve"> demonstrated the application of new centralizer types for zonal isolation in horizontal wells. </w:t>
      </w:r>
      <w:r w:rsidR="00E322C3">
        <w:t xml:space="preserve">  Centralizers in horizontal sections must provide standoff while supporting pipe movement.</w:t>
      </w:r>
    </w:p>
    <w:p w:rsidR="00D75B75" w:rsidRDefault="00D75B75" w:rsidP="00D75B75">
      <w:r>
        <w:t>Fluid turbulence is also beneficial in preparing surfaces for cement.  In addition to the basic centralizers described above, high pump rates and specialized “turbo” fins are added to centralizers to induce turbulence in the annulus (</w:t>
      </w:r>
      <w:r>
        <w:fldChar w:fldCharType="begin"/>
      </w:r>
      <w:r>
        <w:instrText xml:space="preserve"> REF _Ref378604373 \h </w:instrText>
      </w:r>
      <w:r>
        <w:fldChar w:fldCharType="separate"/>
      </w:r>
      <w:r w:rsidR="003129FA">
        <w:t xml:space="preserve">Figure </w:t>
      </w:r>
      <w:r w:rsidR="003129FA">
        <w:rPr>
          <w:noProof/>
        </w:rPr>
        <w:t>20</w:t>
      </w:r>
      <w:r>
        <w:fldChar w:fldCharType="end"/>
      </w:r>
      <w:r>
        <w:t xml:space="preserve">).  The shape of the fins creates a spiral flow to assist in removing mud cake and help to reduce channeling.  This is particularly beneficial on the low side of horizontal wellbores </w:t>
      </w:r>
      <w:r w:rsidR="00C74715">
        <w:fldChar w:fldCharType="begin"/>
      </w:r>
      <w:r w:rsidR="00DE71EA">
        <w:instrText xml:space="preserve"> ADDIN EN.CITE &lt;EndNote&gt;&lt;Cite&gt;&lt;Author&gt;Kinzel&lt;/Author&gt;&lt;Year&gt;1998&lt;/Year&gt;&lt;RecNum&gt;424&lt;/RecNum&gt;&lt;DisplayText&gt;[4]&lt;/DisplayText&gt;&lt;record&gt;&lt;rec-number&gt;424&lt;/rec-number&gt;&lt;foreign-keys&gt;&lt;key app="EN" db-id="rwzxp2sses9f5deexw8xe0tjf5f2wep0epv9"&gt;424&lt;/key&gt;&lt;/foreign-keys&gt;&lt;ref-type name="Conference Paper"&gt;47&lt;/ref-type&gt;&lt;contributors&gt;&lt;authors&gt;&lt;author&gt;Kinzel, Holger&lt;/author&gt;&lt;author&gt;Martens, James G.&lt;/author&gt;&lt;/authors&gt;&lt;/contributors&gt;&lt;titles&gt;&lt;title&gt;The Application of New Centralizer Types to Improve Zone Isolation in Horizontal Wells&lt;/title&gt;&lt;secondary-title&gt;SPE International Oil and Gas Conference and Exhibition in China,&lt;/secondary-title&gt;&lt;/titles&gt;&lt;number&gt;SPE-50438-MS&lt;/number&gt;&lt;dates&gt;&lt;year&gt;1998&lt;/year&gt;&lt;/dates&gt;&lt;pub-location&gt;Beijing, China&lt;/pub-location&gt;&lt;publisher&gt;Society of Petroleum Engineers&lt;/publisher&gt;&lt;urls&gt;&lt;/urls&gt;&lt;electronic-resource-num&gt;http://dx.doi.org/10.2118/50438-MS&lt;/electronic-resource-num&gt;&lt;/record&gt;&lt;/Cite&gt;&lt;/EndNote&gt;</w:instrText>
      </w:r>
      <w:r w:rsidR="00C74715">
        <w:fldChar w:fldCharType="separate"/>
      </w:r>
      <w:r w:rsidR="00DE71EA">
        <w:rPr>
          <w:noProof/>
        </w:rPr>
        <w:t>[</w:t>
      </w:r>
      <w:hyperlink w:anchor="_ENREF_4" w:tooltip="Kinzel, 1998 #424" w:history="1">
        <w:r w:rsidR="00817F40">
          <w:rPr>
            <w:noProof/>
          </w:rPr>
          <w:t>4</w:t>
        </w:r>
      </w:hyperlink>
      <w:r w:rsidR="00DE71EA">
        <w:rPr>
          <w:noProof/>
        </w:rPr>
        <w:t>]</w:t>
      </w:r>
      <w:r w:rsidR="00C74715">
        <w:fldChar w:fldCharType="end"/>
      </w:r>
      <w:r w:rsidR="00514BF5">
        <w:t xml:space="preserve"> where cuttings beds form</w:t>
      </w:r>
      <w:r>
        <w:t xml:space="preserve">.  </w:t>
      </w:r>
    </w:p>
    <w:p w:rsidR="00D75B75" w:rsidRDefault="00D75B75" w:rsidP="00D75B75">
      <w:r>
        <w:rPr>
          <w:noProof/>
        </w:rPr>
        <w:drawing>
          <wp:inline distT="0" distB="0" distL="0" distR="0" wp14:anchorId="353A2315" wp14:editId="1260ACE2">
            <wp:extent cx="2919046" cy="3306382"/>
            <wp:effectExtent l="19050" t="19050" r="15240" b="2794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7_series_6bows_web.jpg"/>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917563" cy="3304702"/>
                    </a:xfrm>
                    <a:prstGeom prst="rect">
                      <a:avLst/>
                    </a:prstGeom>
                    <a:ln>
                      <a:solidFill>
                        <a:schemeClr val="accent1"/>
                      </a:solidFill>
                    </a:ln>
                  </pic:spPr>
                </pic:pic>
              </a:graphicData>
            </a:graphic>
          </wp:inline>
        </w:drawing>
      </w:r>
    </w:p>
    <w:p w:rsidR="002514CB" w:rsidRDefault="00D75B75" w:rsidP="009B1F75">
      <w:pPr>
        <w:pStyle w:val="Caption"/>
      </w:pPr>
      <w:bookmarkStart w:id="28" w:name="_Ref378604373"/>
      <w:proofErr w:type="gramStart"/>
      <w:r>
        <w:t xml:space="preserve">Figure </w:t>
      </w:r>
      <w:r w:rsidR="00D14AFE">
        <w:fldChar w:fldCharType="begin"/>
      </w:r>
      <w:r w:rsidR="00D14AFE">
        <w:instrText xml:space="preserve"> SEQ Figure \* ARABIC </w:instrText>
      </w:r>
      <w:r w:rsidR="00D14AFE">
        <w:fldChar w:fldCharType="separate"/>
      </w:r>
      <w:r w:rsidR="003129FA">
        <w:rPr>
          <w:noProof/>
        </w:rPr>
        <w:t>20</w:t>
      </w:r>
      <w:r w:rsidR="00D14AFE">
        <w:rPr>
          <w:noProof/>
        </w:rPr>
        <w:fldChar w:fldCharType="end"/>
      </w:r>
      <w:bookmarkEnd w:id="28"/>
      <w:r>
        <w:t>.</w:t>
      </w:r>
      <w:proofErr w:type="gramEnd"/>
      <w:r>
        <w:t xml:space="preserve">  Bow spring centralizer with fins</w:t>
      </w:r>
      <w:r>
        <w:rPr>
          <w:noProof/>
        </w:rPr>
        <w:t xml:space="preserve"> </w:t>
      </w:r>
      <w:r w:rsidR="00C74715">
        <w:rPr>
          <w:b w:val="0"/>
          <w:bCs w:val="0"/>
          <w:noProof/>
        </w:rPr>
        <w:fldChar w:fldCharType="begin"/>
      </w:r>
      <w:r w:rsidR="00817F40">
        <w:rPr>
          <w:b w:val="0"/>
          <w:bCs w:val="0"/>
          <w:noProof/>
        </w:rPr>
        <w:instrText xml:space="preserve"> ADDIN EN.CITE &lt;EndNote&gt;&lt;Cite&gt;&lt;Author&gt;Antelope&lt;/Author&gt;&lt;Year&gt;2014&lt;/Year&gt;&lt;RecNum&gt;435&lt;/RecNum&gt;&lt;DisplayText&gt;[31]&lt;/DisplayText&gt;&lt;record&gt;&lt;rec-number&gt;435&lt;/rec-number&gt;&lt;foreign-keys&gt;&lt;key app="EN" db-id="rwzxp2sses9f5deexw8xe0tjf5f2wep0epv9"&gt;435&lt;/key&gt;&lt;/foreign-keys&gt;&lt;ref-type name="Web Page"&gt;12&lt;/ref-type&gt;&lt;contributors&gt;&lt;authors&gt;&lt;author&gt;Antelope&lt;/author&gt;&lt;/authors&gt;&lt;/contributors&gt;&lt;titles&gt;&lt;title&gt;Series 500 - Hinged, Welded, Standard Bow Centralizers&lt;/title&gt;&lt;/titles&gt;&lt;volume&gt;2014&lt;/volume&gt;&lt;number&gt;January, 27&lt;/number&gt;&lt;dates&gt;&lt;year&gt;2014&lt;/year&gt;&lt;/dates&gt;&lt;publisher&gt;Antelope Oil Tool&lt;/publisher&gt;&lt;urls&gt;&lt;related-urls&gt;&lt;url&gt;http://www.antelopeoiltool.com/products/series-500-hinged-welded-standard-bow-centralizers.html&lt;/url&gt;&lt;/related-urls&gt;&lt;/urls&gt;&lt;/record&gt;&lt;/Cite&gt;&lt;/EndNote&gt;</w:instrText>
      </w:r>
      <w:r w:rsidR="00C74715">
        <w:rPr>
          <w:b w:val="0"/>
          <w:bCs w:val="0"/>
          <w:noProof/>
        </w:rPr>
        <w:fldChar w:fldCharType="separate"/>
      </w:r>
      <w:r w:rsidR="00817F40" w:rsidRPr="00817F40">
        <w:rPr>
          <w:noProof/>
        </w:rPr>
        <w:t>[</w:t>
      </w:r>
      <w:hyperlink w:anchor="_ENREF_31" w:tooltip="Antelope, 2014 #435" w:history="1">
        <w:r w:rsidR="00817F40" w:rsidRPr="00817F40">
          <w:rPr>
            <w:noProof/>
          </w:rPr>
          <w:t>31</w:t>
        </w:r>
      </w:hyperlink>
      <w:r w:rsidR="00817F40" w:rsidRPr="00817F40">
        <w:rPr>
          <w:noProof/>
        </w:rPr>
        <w:t>]</w:t>
      </w:r>
      <w:r w:rsidR="00C74715">
        <w:rPr>
          <w:b w:val="0"/>
          <w:bCs w:val="0"/>
          <w:noProof/>
        </w:rPr>
        <w:fldChar w:fldCharType="end"/>
      </w:r>
    </w:p>
    <w:p w:rsidR="002514CB" w:rsidRDefault="00043B8E" w:rsidP="00562BF0">
      <w:pPr>
        <w:pStyle w:val="Heading1"/>
      </w:pPr>
      <w:r>
        <w:t xml:space="preserve">Designing </w:t>
      </w:r>
      <w:r w:rsidR="00F65C65">
        <w:t>a Better Wheel</w:t>
      </w:r>
    </w:p>
    <w:p w:rsidR="002514CB" w:rsidRDefault="00E70562" w:rsidP="002514CB">
      <w:r>
        <w:t>C</w:t>
      </w:r>
      <w:r w:rsidR="00125D53">
        <w:t xml:space="preserve">entralizers fall into two basic categories: </w:t>
      </w:r>
      <w:r w:rsidR="00A27397">
        <w:t xml:space="preserve"> </w:t>
      </w:r>
      <w:r w:rsidR="00125D53">
        <w:t xml:space="preserve">flexible and rigid.  From a </w:t>
      </w:r>
      <w:r w:rsidR="00F65C65">
        <w:t xml:space="preserve">positioning </w:t>
      </w:r>
      <w:r w:rsidR="00125D53">
        <w:t>c</w:t>
      </w:r>
      <w:r w:rsidR="005D01CB">
        <w:t>apability</w:t>
      </w:r>
      <w:r w:rsidR="00125D53">
        <w:t xml:space="preserve"> perspective, they are either fixed force or fixed displacement devices.  </w:t>
      </w:r>
      <w:r w:rsidR="00F65C65">
        <w:t xml:space="preserve">These passive devices have </w:t>
      </w:r>
      <w:r w:rsidR="00914CB5">
        <w:t xml:space="preserve">inherent </w:t>
      </w:r>
      <w:r w:rsidR="00F65C65">
        <w:t>deployment limitations</w:t>
      </w:r>
      <w:r w:rsidR="00914CB5">
        <w:t xml:space="preserve">. </w:t>
      </w:r>
      <w:r w:rsidR="00F65C65">
        <w:t xml:space="preserve"> </w:t>
      </w:r>
      <w:r w:rsidR="003C7CA3">
        <w:t xml:space="preserve">Oftentimes centralizers are omitted for fear of causing issues reaching </w:t>
      </w:r>
      <w:r w:rsidR="00514BF5">
        <w:t>the casing point.</w:t>
      </w:r>
      <w:r w:rsidR="003C7CA3">
        <w:t xml:space="preserve">  </w:t>
      </w:r>
      <w:r w:rsidR="00125D53">
        <w:t xml:space="preserve">A </w:t>
      </w:r>
      <w:r w:rsidR="003C7CA3">
        <w:t xml:space="preserve">flat pack </w:t>
      </w:r>
      <w:r w:rsidR="00125D53">
        <w:t xml:space="preserve">centralizer that could </w:t>
      </w:r>
      <w:r w:rsidR="00F65C65">
        <w:t xml:space="preserve">produce a </w:t>
      </w:r>
      <w:r w:rsidR="003C7CA3">
        <w:t>variable</w:t>
      </w:r>
      <w:r w:rsidR="00F65C65">
        <w:t xml:space="preserve"> displacement when ne</w:t>
      </w:r>
      <w:r w:rsidR="00914CB5">
        <w:t>eded</w:t>
      </w:r>
      <w:r w:rsidR="003C7CA3">
        <w:t xml:space="preserve"> would help to eliminate some of the issues associated with current centralizing techniques.  </w:t>
      </w:r>
    </w:p>
    <w:p w:rsidR="00914CB5" w:rsidRDefault="00A27397" w:rsidP="002514CB">
      <w:r>
        <w:t xml:space="preserve">An alternative to the current selection of centralizers would be </w:t>
      </w:r>
      <w:r w:rsidR="00914CB5">
        <w:t xml:space="preserve">capable of producing </w:t>
      </w:r>
      <w:r w:rsidR="003C7CA3">
        <w:t>controlled f</w:t>
      </w:r>
      <w:r w:rsidR="00914CB5">
        <w:t>orces and displacements compar</w:t>
      </w:r>
      <w:r w:rsidR="0093480E">
        <w:t>able</w:t>
      </w:r>
      <w:r w:rsidR="00914CB5">
        <w:t xml:space="preserve"> to the bow spring with little or no installation drag.  The </w:t>
      </w:r>
      <w:r>
        <w:t xml:space="preserve">new centralizer would </w:t>
      </w:r>
      <w:r w:rsidR="00914CB5">
        <w:t xml:space="preserve">leverage existing techniques and technologies for deployment mechanisms in a limited space and generate large forces/displacements.  The active centralizer will be able to operate in </w:t>
      </w:r>
      <w:r w:rsidR="00FA50A8">
        <w:t xml:space="preserve">situations </w:t>
      </w:r>
      <w:r w:rsidR="00914CB5">
        <w:t xml:space="preserve">where the bow spring </w:t>
      </w:r>
      <w:r w:rsidR="003C7CA3">
        <w:t xml:space="preserve">and rigid centralizer </w:t>
      </w:r>
      <w:r w:rsidR="00914CB5">
        <w:t xml:space="preserve">would </w:t>
      </w:r>
      <w:r w:rsidR="00FA50A8">
        <w:t xml:space="preserve">not be deployed.  </w:t>
      </w:r>
    </w:p>
    <w:p w:rsidR="000E6453" w:rsidRDefault="00FA50A8" w:rsidP="005D01CB">
      <w:r>
        <w:lastRenderedPageBreak/>
        <w:t xml:space="preserve">For bow spring centralizers, the drag force is directly proportional to the centralizing force.  </w:t>
      </w:r>
      <w:r w:rsidR="005D01CB">
        <w:t xml:space="preserve">If the centralizer can be deployed in a retracted position, </w:t>
      </w:r>
      <w:r w:rsidR="003454C5">
        <w:t>th</w:t>
      </w:r>
      <w:r w:rsidR="000E6453">
        <w:t>e installation drag is minimized which eliminates the limits on centralizer performance.  Without that limitation, the centraliz</w:t>
      </w:r>
      <w:r w:rsidR="005D6DBE">
        <w:t xml:space="preserve">er </w:t>
      </w:r>
      <w:r w:rsidR="000E6453">
        <w:t xml:space="preserve">can be used more </w:t>
      </w:r>
      <w:r w:rsidR="005D6DBE">
        <w:t>efficiently</w:t>
      </w:r>
      <w:r w:rsidR="000E6453">
        <w:t xml:space="preserve">, whether </w:t>
      </w:r>
      <w:r w:rsidR="005D6DBE">
        <w:t xml:space="preserve">by </w:t>
      </w:r>
      <w:r w:rsidR="000E6453">
        <w:t>applying higher forces or controlled displac</w:t>
      </w:r>
      <w:r w:rsidR="00E93FC6">
        <w:t>e</w:t>
      </w:r>
      <w:r w:rsidR="000E6453">
        <w:t>ments</w:t>
      </w:r>
      <w:r w:rsidR="005D6DBE">
        <w:t xml:space="preserve"> when needed</w:t>
      </w:r>
      <w:r w:rsidR="003454C5">
        <w:t xml:space="preserve">. </w:t>
      </w:r>
      <w:r w:rsidR="000E6453">
        <w:t xml:space="preserve"> </w:t>
      </w:r>
    </w:p>
    <w:p w:rsidR="008A5469" w:rsidRDefault="005D01CB" w:rsidP="005D01CB">
      <w:r>
        <w:t xml:space="preserve">This </w:t>
      </w:r>
      <w:r w:rsidR="000E6453">
        <w:t xml:space="preserve">can be achieved </w:t>
      </w:r>
      <w:r>
        <w:t>through an active centralizer system</w:t>
      </w:r>
      <w:r w:rsidR="00ED6BBC">
        <w:t xml:space="preserve"> as shown in </w:t>
      </w:r>
      <w:r w:rsidR="00ED6BBC">
        <w:fldChar w:fldCharType="begin"/>
      </w:r>
      <w:r w:rsidR="00ED6BBC">
        <w:instrText xml:space="preserve"> REF _Ref383779631 \h </w:instrText>
      </w:r>
      <w:r w:rsidR="00ED6BBC">
        <w:fldChar w:fldCharType="separate"/>
      </w:r>
      <w:r w:rsidR="003129FA">
        <w:t xml:space="preserve">Figure </w:t>
      </w:r>
      <w:r w:rsidR="003129FA">
        <w:rPr>
          <w:noProof/>
        </w:rPr>
        <w:t>21</w:t>
      </w:r>
      <w:r w:rsidR="00ED6BBC">
        <w:fldChar w:fldCharType="end"/>
      </w:r>
      <w:r>
        <w:t>.</w:t>
      </w:r>
      <w:r w:rsidRPr="00F33062">
        <w:t xml:space="preserve"> </w:t>
      </w:r>
      <w:r w:rsidR="003454C5">
        <w:t xml:space="preserve">The active centralizer </w:t>
      </w:r>
      <w:r>
        <w:t xml:space="preserve">will allow a large </w:t>
      </w:r>
      <w:r w:rsidR="003454C5">
        <w:t xml:space="preserve">centralizing force </w:t>
      </w:r>
      <w:r>
        <w:t xml:space="preserve">compared to </w:t>
      </w:r>
      <w:r w:rsidR="008A5469">
        <w:t xml:space="preserve">a </w:t>
      </w:r>
      <w:r>
        <w:t>traditional</w:t>
      </w:r>
      <w:r w:rsidR="008A5469">
        <w:t xml:space="preserve"> </w:t>
      </w:r>
      <w:r>
        <w:t xml:space="preserve">bow spring with little or no installation drag. </w:t>
      </w:r>
      <w:r w:rsidR="009B1F75">
        <w:t xml:space="preserve"> </w:t>
      </w:r>
      <w:r>
        <w:t xml:space="preserve">Additionally larger displacements can be produced with a powered system to centralize </w:t>
      </w:r>
      <w:r w:rsidR="00514BF5">
        <w:t>the casing in extremely deviated well bores</w:t>
      </w:r>
      <w:r>
        <w:t xml:space="preserve">. </w:t>
      </w:r>
      <w:r w:rsidR="009B1F75">
        <w:t xml:space="preserve"> </w:t>
      </w:r>
      <w:r>
        <w:t>Depending on the requirements</w:t>
      </w:r>
      <w:r w:rsidR="003E5089">
        <w:t>,</w:t>
      </w:r>
      <w:r>
        <w:t xml:space="preserve"> the powered centralizer could be deployed with a range of technologies that include paraffin actuators, shape memory alloys, energetic materials (gas generators), etc.</w:t>
      </w:r>
      <w:r w:rsidR="00ED6BBC">
        <w:t xml:space="preserve">  </w:t>
      </w:r>
    </w:p>
    <w:tbl>
      <w:tblPr>
        <w:tblStyle w:val="TableGrid"/>
        <w:tblW w:w="0" w:type="auto"/>
        <w:tblLook w:val="04A0" w:firstRow="1" w:lastRow="0" w:firstColumn="1" w:lastColumn="0" w:noHBand="0" w:noVBand="1"/>
      </w:tblPr>
      <w:tblGrid>
        <w:gridCol w:w="4788"/>
        <w:gridCol w:w="4788"/>
      </w:tblGrid>
      <w:tr w:rsidR="008A5469" w:rsidTr="008A5469">
        <w:tc>
          <w:tcPr>
            <w:tcW w:w="4788" w:type="dxa"/>
          </w:tcPr>
          <w:p w:rsidR="008A5469" w:rsidRDefault="008A5469" w:rsidP="005D01CB">
            <w:r>
              <w:rPr>
                <w:noProof/>
              </w:rPr>
              <w:drawing>
                <wp:inline distT="0" distB="0" distL="0" distR="0" wp14:anchorId="593C740C" wp14:editId="7F3CE5B2">
                  <wp:extent cx="2743200" cy="2603644"/>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43200" cy="2603644"/>
                          </a:xfrm>
                          <a:prstGeom prst="rect">
                            <a:avLst/>
                          </a:prstGeom>
                          <a:noFill/>
                          <a:ln>
                            <a:noFill/>
                          </a:ln>
                        </pic:spPr>
                      </pic:pic>
                    </a:graphicData>
                  </a:graphic>
                </wp:inline>
              </w:drawing>
            </w:r>
          </w:p>
        </w:tc>
        <w:tc>
          <w:tcPr>
            <w:tcW w:w="4788" w:type="dxa"/>
          </w:tcPr>
          <w:p w:rsidR="008A5469" w:rsidRDefault="008A5469" w:rsidP="005D01CB">
            <w:r>
              <w:rPr>
                <w:noProof/>
              </w:rPr>
              <w:drawing>
                <wp:inline distT="0" distB="0" distL="0" distR="0" wp14:anchorId="16C7E0E3" wp14:editId="0D0B11A6">
                  <wp:extent cx="2743200" cy="264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43200" cy="2648563"/>
                          </a:xfrm>
                          <a:prstGeom prst="rect">
                            <a:avLst/>
                          </a:prstGeom>
                          <a:noFill/>
                          <a:ln>
                            <a:noFill/>
                          </a:ln>
                        </pic:spPr>
                      </pic:pic>
                    </a:graphicData>
                  </a:graphic>
                </wp:inline>
              </w:drawing>
            </w:r>
          </w:p>
        </w:tc>
      </w:tr>
    </w:tbl>
    <w:p w:rsidR="00ED6BBC" w:rsidRDefault="00ED6BBC" w:rsidP="00ED6BBC">
      <w:pPr>
        <w:pStyle w:val="Caption"/>
      </w:pPr>
      <w:bookmarkStart w:id="29" w:name="_Ref383779631"/>
      <w:proofErr w:type="gramStart"/>
      <w:r>
        <w:t xml:space="preserve">Figure </w:t>
      </w:r>
      <w:r w:rsidR="00D14AFE">
        <w:fldChar w:fldCharType="begin"/>
      </w:r>
      <w:r w:rsidR="00D14AFE">
        <w:instrText xml:space="preserve"> SEQ Figure \* ARABIC </w:instrText>
      </w:r>
      <w:r w:rsidR="00D14AFE">
        <w:fldChar w:fldCharType="separate"/>
      </w:r>
      <w:r w:rsidR="003129FA">
        <w:rPr>
          <w:noProof/>
        </w:rPr>
        <w:t>21</w:t>
      </w:r>
      <w:r w:rsidR="00D14AFE">
        <w:rPr>
          <w:noProof/>
        </w:rPr>
        <w:fldChar w:fldCharType="end"/>
      </w:r>
      <w:bookmarkEnd w:id="29"/>
      <w:r>
        <w:t>.</w:t>
      </w:r>
      <w:proofErr w:type="gramEnd"/>
      <w:r>
        <w:t xml:space="preserve">  Deployable centralizer concept</w:t>
      </w:r>
    </w:p>
    <w:p w:rsidR="00CA0CF5" w:rsidRDefault="004663C4" w:rsidP="00914CB5">
      <w:r>
        <w:t xml:space="preserve">The centralizer would be run </w:t>
      </w:r>
      <w:r w:rsidR="00514BF5">
        <w:t xml:space="preserve">in </w:t>
      </w:r>
      <w:r>
        <w:t xml:space="preserve">with the casing in the retracted configuration.  The retracted configuration would still provide a minimal standoff between the casing and the wellbore to prevent </w:t>
      </w:r>
      <w:r w:rsidR="003E5089">
        <w:t>differential sticking</w:t>
      </w:r>
      <w:r>
        <w:t>.  When it reaches the desired location, it would deploy based on one of the methods previously described.  The on-demand deployment helps to overcome the shortcomings associated with using conventional centralizers.</w:t>
      </w:r>
    </w:p>
    <w:p w:rsidR="00914CB5" w:rsidRPr="00CF1DD5" w:rsidRDefault="00914CB5" w:rsidP="00914CB5">
      <w:r>
        <w:t>Solving this problem will require a systems-based approach.  Integrati</w:t>
      </w:r>
      <w:r w:rsidR="004663C4">
        <w:t xml:space="preserve">ng the </w:t>
      </w:r>
      <w:r>
        <w:t>centralizer with the casing, the environment</w:t>
      </w:r>
      <w:r w:rsidR="00CA0CF5">
        <w:t xml:space="preserve">, </w:t>
      </w:r>
      <w:r>
        <w:t>and the geology of the formation are key factors to consider</w:t>
      </w:r>
      <w:r w:rsidR="004663C4">
        <w:t xml:space="preserve"> when developing this type of tool</w:t>
      </w:r>
      <w:r>
        <w:t xml:space="preserve">. </w:t>
      </w:r>
      <w:r w:rsidR="004663C4">
        <w:t xml:space="preserve"> </w:t>
      </w:r>
      <w:r>
        <w:t xml:space="preserve">By carefully defining the problem requirements, a mechanism and power source can be developed for geothermal applications. </w:t>
      </w:r>
      <w:r w:rsidR="004663C4">
        <w:t xml:space="preserve"> </w:t>
      </w:r>
      <w:r>
        <w:t xml:space="preserve">Accomplishing this will improve centralization of the casing and </w:t>
      </w:r>
      <w:r w:rsidR="004663C4">
        <w:t xml:space="preserve">help to eliminate </w:t>
      </w:r>
      <w:r>
        <w:t xml:space="preserve">failures </w:t>
      </w:r>
      <w:r w:rsidR="004663C4">
        <w:t>associated with poor cement placement, thus lowering the overall cost of well completion.</w:t>
      </w:r>
    </w:p>
    <w:p w:rsidR="005D01CB" w:rsidRPr="002514CB" w:rsidRDefault="005D01CB" w:rsidP="005D01CB">
      <w:r>
        <w:t xml:space="preserve"> </w:t>
      </w:r>
    </w:p>
    <w:p w:rsidR="00193C4E" w:rsidRDefault="00193C4E" w:rsidP="00193C4E"/>
    <w:p w:rsidR="007F139A" w:rsidRDefault="007F139A" w:rsidP="007F139A"/>
    <w:p w:rsidR="002515E6" w:rsidRDefault="002515E6" w:rsidP="00C02A00"/>
    <w:p w:rsidR="00903FB0" w:rsidRDefault="00903FB0" w:rsidP="00903FB0"/>
    <w:p w:rsidR="003632A3" w:rsidRDefault="003632A3" w:rsidP="00903FB0"/>
    <w:p w:rsidR="003632A3" w:rsidRDefault="003632A3" w:rsidP="00903FB0"/>
    <w:p w:rsidR="003632A3" w:rsidRDefault="003632A3" w:rsidP="00903FB0"/>
    <w:p w:rsidR="00DE28AB" w:rsidRDefault="00DE28AB">
      <w:r>
        <w:br w:type="page"/>
      </w:r>
    </w:p>
    <w:p w:rsidR="00DE28AB" w:rsidRDefault="00DE28AB" w:rsidP="00DE28AB">
      <w:pPr>
        <w:pStyle w:val="Heading1"/>
      </w:pPr>
      <w:r>
        <w:lastRenderedPageBreak/>
        <w:t>Appendix</w:t>
      </w:r>
    </w:p>
    <w:p w:rsidR="00DE28AB" w:rsidRDefault="00DE28AB" w:rsidP="00444E76">
      <w:pPr>
        <w:pStyle w:val="Heading2"/>
      </w:pPr>
      <w:r>
        <w:t>Centralizer Terms and Definitions</w:t>
      </w:r>
    </w:p>
    <w:p w:rsidR="00DE28AB" w:rsidRPr="00EC2ACB" w:rsidRDefault="00DE28AB" w:rsidP="00DE28AB">
      <w:r>
        <w:t>The following terms and definitions are included to facilitate the discussion of centralizers and completions.   Terms related to centralizers have been adapted from API Spec 10D.</w:t>
      </w:r>
    </w:p>
    <w:p w:rsidR="00DE28AB" w:rsidRPr="00EC2ACB" w:rsidRDefault="00DE28AB" w:rsidP="00DE28AB">
      <w:pPr>
        <w:pStyle w:val="NoSpacing"/>
        <w:rPr>
          <w:rStyle w:val="Strong"/>
        </w:rPr>
      </w:pPr>
      <w:proofErr w:type="gramStart"/>
      <w:r w:rsidRPr="00EC2ACB">
        <w:rPr>
          <w:rStyle w:val="Strong"/>
        </w:rPr>
        <w:t>flexed</w:t>
      </w:r>
      <w:proofErr w:type="gramEnd"/>
      <w:r w:rsidRPr="00EC2ACB">
        <w:rPr>
          <w:rStyle w:val="Strong"/>
        </w:rPr>
        <w:t xml:space="preserve"> </w:t>
      </w:r>
    </w:p>
    <w:p w:rsidR="00DE28AB" w:rsidRDefault="00DE28AB" w:rsidP="00DE28AB">
      <w:proofErr w:type="gramStart"/>
      <w:r>
        <w:t>condition</w:t>
      </w:r>
      <w:proofErr w:type="gramEnd"/>
      <w:r>
        <w:t xml:space="preserve"> of a bow-spring centralizer when force three times the specified minimum restoring force has been applied to it</w:t>
      </w:r>
    </w:p>
    <w:p w:rsidR="00DE28AB" w:rsidRDefault="00DE28AB" w:rsidP="00DE28AB">
      <w:pPr>
        <w:pStyle w:val="NoSpacing"/>
        <w:rPr>
          <w:rStyle w:val="Strong"/>
        </w:rPr>
      </w:pPr>
      <w:proofErr w:type="gramStart"/>
      <w:r>
        <w:rPr>
          <w:rStyle w:val="Strong"/>
        </w:rPr>
        <w:t>holding</w:t>
      </w:r>
      <w:proofErr w:type="gramEnd"/>
      <w:r>
        <w:rPr>
          <w:rStyle w:val="Strong"/>
        </w:rPr>
        <w:t xml:space="preserve"> device</w:t>
      </w:r>
    </w:p>
    <w:p w:rsidR="00DE28AB" w:rsidRDefault="00DE28AB" w:rsidP="00DE28AB">
      <w:proofErr w:type="gramStart"/>
      <w:r>
        <w:t>device</w:t>
      </w:r>
      <w:proofErr w:type="gramEnd"/>
      <w:r>
        <w:t xml:space="preserve"> employed to fix the stop collar or centralizer to the casing</w:t>
      </w:r>
    </w:p>
    <w:p w:rsidR="00DE28AB" w:rsidRDefault="00DE28AB" w:rsidP="00DE28AB">
      <w:pPr>
        <w:pStyle w:val="NoSpacing"/>
        <w:rPr>
          <w:rStyle w:val="Strong"/>
        </w:rPr>
      </w:pPr>
      <w:proofErr w:type="gramStart"/>
      <w:r>
        <w:rPr>
          <w:rStyle w:val="Strong"/>
        </w:rPr>
        <w:t>holding</w:t>
      </w:r>
      <w:proofErr w:type="gramEnd"/>
      <w:r>
        <w:rPr>
          <w:rStyle w:val="Strong"/>
        </w:rPr>
        <w:t xml:space="preserve"> force</w:t>
      </w:r>
    </w:p>
    <w:p w:rsidR="00DE28AB" w:rsidRDefault="00DE28AB" w:rsidP="00DE28AB">
      <w:proofErr w:type="gramStart"/>
      <w:r>
        <w:t>maximum</w:t>
      </w:r>
      <w:proofErr w:type="gramEnd"/>
      <w:r>
        <w:t xml:space="preserve"> force required to initiate slippage of a stop collar on the casing</w:t>
      </w:r>
    </w:p>
    <w:p w:rsidR="00DE28AB" w:rsidRDefault="00DE28AB" w:rsidP="00DE28AB">
      <w:pPr>
        <w:pStyle w:val="NoSpacing"/>
        <w:rPr>
          <w:rStyle w:val="Strong"/>
        </w:rPr>
      </w:pPr>
      <w:proofErr w:type="gramStart"/>
      <w:r>
        <w:rPr>
          <w:rStyle w:val="Strong"/>
        </w:rPr>
        <w:t>hole</w:t>
      </w:r>
      <w:proofErr w:type="gramEnd"/>
      <w:r>
        <w:rPr>
          <w:rStyle w:val="Strong"/>
        </w:rPr>
        <w:t xml:space="preserve"> size</w:t>
      </w:r>
    </w:p>
    <w:p w:rsidR="00DE28AB" w:rsidRDefault="00DE28AB" w:rsidP="00DE28AB">
      <w:proofErr w:type="gramStart"/>
      <w:r>
        <w:t>diameter</w:t>
      </w:r>
      <w:proofErr w:type="gramEnd"/>
      <w:r>
        <w:t xml:space="preserve"> of the wellbore</w:t>
      </w:r>
    </w:p>
    <w:p w:rsidR="00DE28AB" w:rsidRDefault="00DE28AB" w:rsidP="00DE28AB">
      <w:pPr>
        <w:pStyle w:val="NoSpacing"/>
        <w:rPr>
          <w:rStyle w:val="Strong"/>
        </w:rPr>
      </w:pPr>
      <w:proofErr w:type="gramStart"/>
      <w:r>
        <w:rPr>
          <w:rStyle w:val="Strong"/>
        </w:rPr>
        <w:t>restoring</w:t>
      </w:r>
      <w:proofErr w:type="gramEnd"/>
      <w:r>
        <w:rPr>
          <w:rStyle w:val="Strong"/>
        </w:rPr>
        <w:t xml:space="preserve"> force</w:t>
      </w:r>
    </w:p>
    <w:p w:rsidR="00DE28AB" w:rsidRDefault="00DE28AB" w:rsidP="00DE28AB">
      <w:proofErr w:type="gramStart"/>
      <w:r>
        <w:t>force</w:t>
      </w:r>
      <w:proofErr w:type="gramEnd"/>
      <w:r>
        <w:t xml:space="preserve"> exerted by a centralizer against the casing to keep it away from the wellbore wall</w:t>
      </w:r>
    </w:p>
    <w:p w:rsidR="00DE28AB" w:rsidRDefault="00DE28AB" w:rsidP="00DE28AB">
      <w:pPr>
        <w:pStyle w:val="NoSpacing"/>
        <w:rPr>
          <w:rStyle w:val="Strong"/>
        </w:rPr>
      </w:pPr>
      <w:proofErr w:type="gramStart"/>
      <w:r>
        <w:rPr>
          <w:rStyle w:val="Strong"/>
        </w:rPr>
        <w:t>rigid</w:t>
      </w:r>
      <w:proofErr w:type="gramEnd"/>
      <w:r>
        <w:rPr>
          <w:rStyle w:val="Strong"/>
        </w:rPr>
        <w:t xml:space="preserve"> centralizer</w:t>
      </w:r>
    </w:p>
    <w:p w:rsidR="00DE28AB" w:rsidRDefault="00DE28AB" w:rsidP="00DE28AB">
      <w:proofErr w:type="gramStart"/>
      <w:r>
        <w:t>centralizer</w:t>
      </w:r>
      <w:proofErr w:type="gramEnd"/>
      <w:r>
        <w:t xml:space="preserve"> with bows that do not flex</w:t>
      </w:r>
    </w:p>
    <w:p w:rsidR="00DE28AB" w:rsidRDefault="00DE28AB" w:rsidP="00DE28AB">
      <w:pPr>
        <w:pStyle w:val="NoSpacing"/>
        <w:rPr>
          <w:rStyle w:val="Strong"/>
        </w:rPr>
      </w:pPr>
      <w:proofErr w:type="gramStart"/>
      <w:r>
        <w:rPr>
          <w:rStyle w:val="Strong"/>
        </w:rPr>
        <w:t>running</w:t>
      </w:r>
      <w:proofErr w:type="gramEnd"/>
      <w:r>
        <w:rPr>
          <w:rStyle w:val="Strong"/>
        </w:rPr>
        <w:t xml:space="preserve"> force</w:t>
      </w:r>
    </w:p>
    <w:p w:rsidR="00DE28AB" w:rsidRDefault="00DE28AB" w:rsidP="00DE28AB">
      <w:proofErr w:type="gramStart"/>
      <w:r>
        <w:t>maximum</w:t>
      </w:r>
      <w:proofErr w:type="gramEnd"/>
      <w:r>
        <w:t xml:space="preserve"> force required to move a centralizer through a specified wellbore diameter</w:t>
      </w:r>
    </w:p>
    <w:p w:rsidR="00DE28AB" w:rsidRDefault="00DE28AB" w:rsidP="00DE28AB">
      <w:pPr>
        <w:pStyle w:val="NoSpacing"/>
        <w:rPr>
          <w:rStyle w:val="Strong"/>
        </w:rPr>
      </w:pPr>
      <w:proofErr w:type="gramStart"/>
      <w:r>
        <w:rPr>
          <w:rStyle w:val="Strong"/>
        </w:rPr>
        <w:t>solid</w:t>
      </w:r>
      <w:proofErr w:type="gramEnd"/>
      <w:r>
        <w:rPr>
          <w:rStyle w:val="Strong"/>
        </w:rPr>
        <w:t xml:space="preserve"> centralizer</w:t>
      </w:r>
    </w:p>
    <w:p w:rsidR="00DE28AB" w:rsidRDefault="00DE28AB" w:rsidP="00DE28AB">
      <w:proofErr w:type="gramStart"/>
      <w:r>
        <w:t>centralizer</w:t>
      </w:r>
      <w:proofErr w:type="gramEnd"/>
      <w:r>
        <w:t xml:space="preserve"> made to be a solid device with non-flexible fins or bands</w:t>
      </w:r>
    </w:p>
    <w:p w:rsidR="00DE28AB" w:rsidRDefault="00DE28AB" w:rsidP="00DE28AB">
      <w:pPr>
        <w:pStyle w:val="NoSpacing"/>
        <w:rPr>
          <w:rStyle w:val="Strong"/>
        </w:rPr>
      </w:pPr>
      <w:proofErr w:type="gramStart"/>
      <w:r>
        <w:rPr>
          <w:rStyle w:val="Strong"/>
        </w:rPr>
        <w:t>standoff</w:t>
      </w:r>
      <w:proofErr w:type="gramEnd"/>
    </w:p>
    <w:p w:rsidR="00DE28AB" w:rsidRDefault="00DE28AB" w:rsidP="00DE28AB">
      <w:proofErr w:type="gramStart"/>
      <w:r>
        <w:t>smallest</w:t>
      </w:r>
      <w:proofErr w:type="gramEnd"/>
      <w:r>
        <w:t xml:space="preserve"> distance between the outside diameter of the casing and the wellbore</w:t>
      </w:r>
    </w:p>
    <w:p w:rsidR="00DE28AB" w:rsidRDefault="00DE28AB" w:rsidP="00DE28AB">
      <w:pPr>
        <w:pStyle w:val="NoSpacing"/>
        <w:rPr>
          <w:rStyle w:val="Strong"/>
        </w:rPr>
      </w:pPr>
      <w:proofErr w:type="gramStart"/>
      <w:r>
        <w:rPr>
          <w:rStyle w:val="Strong"/>
        </w:rPr>
        <w:t>standoff</w:t>
      </w:r>
      <w:proofErr w:type="gramEnd"/>
      <w:r>
        <w:rPr>
          <w:rStyle w:val="Strong"/>
        </w:rPr>
        <w:t xml:space="preserve"> ratio</w:t>
      </w:r>
    </w:p>
    <w:p w:rsidR="00DE28AB" w:rsidRDefault="00DE28AB" w:rsidP="00DE28AB">
      <w:proofErr w:type="gramStart"/>
      <w:r>
        <w:t>ratio</w:t>
      </w:r>
      <w:proofErr w:type="gramEnd"/>
      <w:r>
        <w:t xml:space="preserve"> of standoff to annular clearance for perfectly centered casing</w:t>
      </w:r>
    </w:p>
    <w:p w:rsidR="00DE28AB" w:rsidRDefault="00DE28AB" w:rsidP="00DE28AB">
      <w:pPr>
        <w:pStyle w:val="NoSpacing"/>
        <w:rPr>
          <w:rStyle w:val="Strong"/>
        </w:rPr>
      </w:pPr>
      <w:proofErr w:type="gramStart"/>
      <w:r>
        <w:rPr>
          <w:rStyle w:val="Strong"/>
        </w:rPr>
        <w:t>starting</w:t>
      </w:r>
      <w:proofErr w:type="gramEnd"/>
      <w:r>
        <w:rPr>
          <w:rStyle w:val="Strong"/>
        </w:rPr>
        <w:t xml:space="preserve"> force</w:t>
      </w:r>
    </w:p>
    <w:p w:rsidR="00DE28AB" w:rsidRDefault="00DE28AB" w:rsidP="00DE28AB">
      <w:proofErr w:type="gramStart"/>
      <w:r>
        <w:t>maximum</w:t>
      </w:r>
      <w:proofErr w:type="gramEnd"/>
      <w:r>
        <w:t xml:space="preserve"> force required to insert a centralizer into a specified wellbore diameter</w:t>
      </w:r>
    </w:p>
    <w:p w:rsidR="00DE28AB" w:rsidRDefault="00DE28AB" w:rsidP="00DE28AB">
      <w:pPr>
        <w:pStyle w:val="NoSpacing"/>
        <w:rPr>
          <w:rStyle w:val="Strong"/>
        </w:rPr>
      </w:pPr>
      <w:proofErr w:type="gramStart"/>
      <w:r>
        <w:rPr>
          <w:rStyle w:val="Strong"/>
        </w:rPr>
        <w:t>stop</w:t>
      </w:r>
      <w:proofErr w:type="gramEnd"/>
      <w:r>
        <w:rPr>
          <w:rStyle w:val="Strong"/>
        </w:rPr>
        <w:t xml:space="preserve"> collar</w:t>
      </w:r>
    </w:p>
    <w:p w:rsidR="00E308AD" w:rsidRDefault="00DE28AB" w:rsidP="00DE28AB">
      <w:proofErr w:type="gramStart"/>
      <w:r>
        <w:t>device</w:t>
      </w:r>
      <w:proofErr w:type="gramEnd"/>
      <w:r>
        <w:t xml:space="preserve"> attached to the casing to prevent moving of a casing centralizer</w:t>
      </w:r>
      <w:r w:rsidR="00E308AD">
        <w:br w:type="page"/>
      </w:r>
    </w:p>
    <w:p w:rsidR="003632A3" w:rsidRDefault="003632A3" w:rsidP="003632A3">
      <w:pPr>
        <w:pStyle w:val="Heading1"/>
      </w:pPr>
      <w:r>
        <w:lastRenderedPageBreak/>
        <w:t>References</w:t>
      </w:r>
    </w:p>
    <w:p w:rsidR="003632A3" w:rsidRPr="003632A3" w:rsidRDefault="003632A3" w:rsidP="003632A3"/>
    <w:p w:rsidR="00817F40" w:rsidRPr="00817F40" w:rsidRDefault="003632A3" w:rsidP="00817F40">
      <w:pPr>
        <w:spacing w:after="0" w:line="240" w:lineRule="auto"/>
        <w:ind w:left="720" w:hanging="720"/>
        <w:rPr>
          <w:rFonts w:ascii="Calibri" w:hAnsi="Calibri"/>
          <w:noProof/>
        </w:rPr>
      </w:pPr>
      <w:r>
        <w:fldChar w:fldCharType="begin"/>
      </w:r>
      <w:r>
        <w:instrText xml:space="preserve"> ADDIN EN.REFLIST </w:instrText>
      </w:r>
      <w:r>
        <w:fldChar w:fldCharType="separate"/>
      </w:r>
      <w:bookmarkStart w:id="30" w:name="_ENREF_1"/>
      <w:r w:rsidR="00817F40" w:rsidRPr="00817F40">
        <w:rPr>
          <w:rFonts w:ascii="Calibri" w:hAnsi="Calibri"/>
          <w:noProof/>
        </w:rPr>
        <w:t>1.</w:t>
      </w:r>
      <w:r w:rsidR="00817F40" w:rsidRPr="00817F40">
        <w:rPr>
          <w:rFonts w:ascii="Calibri" w:hAnsi="Calibri"/>
          <w:noProof/>
        </w:rPr>
        <w:tab/>
        <w:t xml:space="preserve">Wan, R., </w:t>
      </w:r>
      <w:r w:rsidR="00817F40" w:rsidRPr="00817F40">
        <w:rPr>
          <w:rFonts w:ascii="Calibri" w:hAnsi="Calibri"/>
          <w:i/>
          <w:noProof/>
        </w:rPr>
        <w:t>Advanced well completion engineering</w:t>
      </w:r>
      <w:r w:rsidR="00817F40" w:rsidRPr="00817F40">
        <w:rPr>
          <w:rFonts w:ascii="Calibri" w:hAnsi="Calibri"/>
          <w:noProof/>
        </w:rPr>
        <w:t>. 3rd ed. 2011, Waltham, MA: Gulf Professional Pub. xx, 715 p.</w:t>
      </w:r>
      <w:bookmarkEnd w:id="30"/>
    </w:p>
    <w:p w:rsidR="00817F40" w:rsidRPr="00817F40" w:rsidRDefault="00817F40" w:rsidP="00817F40">
      <w:pPr>
        <w:spacing w:after="0" w:line="240" w:lineRule="auto"/>
        <w:ind w:left="720" w:hanging="720"/>
        <w:rPr>
          <w:rFonts w:ascii="Calibri" w:hAnsi="Calibri"/>
          <w:noProof/>
        </w:rPr>
      </w:pPr>
      <w:bookmarkStart w:id="31" w:name="_ENREF_2"/>
      <w:r w:rsidRPr="00817F40">
        <w:rPr>
          <w:rFonts w:ascii="Calibri" w:hAnsi="Calibri"/>
          <w:noProof/>
        </w:rPr>
        <w:t>2.</w:t>
      </w:r>
      <w:r w:rsidRPr="00817F40">
        <w:rPr>
          <w:rFonts w:ascii="Calibri" w:hAnsi="Calibri"/>
          <w:noProof/>
        </w:rPr>
        <w:tab/>
        <w:t xml:space="preserve">Wikipedia. </w:t>
      </w:r>
      <w:r w:rsidRPr="00817F40">
        <w:rPr>
          <w:rFonts w:ascii="Calibri" w:hAnsi="Calibri"/>
          <w:i/>
          <w:noProof/>
        </w:rPr>
        <w:t>Completion (oil and gas wells)</w:t>
      </w:r>
      <w:r w:rsidRPr="00817F40">
        <w:rPr>
          <w:rFonts w:ascii="Calibri" w:hAnsi="Calibri"/>
          <w:noProof/>
        </w:rPr>
        <w:t xml:space="preserve">.  2014  [cited 2014 February, 5]; Available from: </w:t>
      </w:r>
      <w:hyperlink r:id="rId72" w:history="1">
        <w:r w:rsidRPr="00817F40">
          <w:rPr>
            <w:rStyle w:val="Hyperlink"/>
            <w:rFonts w:ascii="Calibri" w:hAnsi="Calibri"/>
            <w:noProof/>
          </w:rPr>
          <w:t>http://en.wikipedia.org/wiki/Completion_%28oil_and_gas_wells%29</w:t>
        </w:r>
      </w:hyperlink>
      <w:r w:rsidRPr="00817F40">
        <w:rPr>
          <w:rFonts w:ascii="Calibri" w:hAnsi="Calibri"/>
          <w:noProof/>
        </w:rPr>
        <w:t>.</w:t>
      </w:r>
      <w:bookmarkEnd w:id="31"/>
    </w:p>
    <w:p w:rsidR="00817F40" w:rsidRPr="00817F40" w:rsidRDefault="00817F40" w:rsidP="00817F40">
      <w:pPr>
        <w:spacing w:after="0" w:line="240" w:lineRule="auto"/>
        <w:ind w:left="720" w:hanging="720"/>
        <w:rPr>
          <w:rFonts w:ascii="Calibri" w:hAnsi="Calibri"/>
          <w:noProof/>
        </w:rPr>
      </w:pPr>
      <w:bookmarkStart w:id="32" w:name="_ENREF_3"/>
      <w:r w:rsidRPr="00817F40">
        <w:rPr>
          <w:rFonts w:ascii="Calibri" w:hAnsi="Calibri"/>
          <w:noProof/>
        </w:rPr>
        <w:t>3.</w:t>
      </w:r>
      <w:r w:rsidRPr="00817F40">
        <w:rPr>
          <w:rFonts w:ascii="Calibri" w:hAnsi="Calibri"/>
          <w:noProof/>
        </w:rPr>
        <w:tab/>
        <w:t xml:space="preserve">Bellarby, J., </w:t>
      </w:r>
      <w:r w:rsidRPr="00817F40">
        <w:rPr>
          <w:rFonts w:ascii="Calibri" w:hAnsi="Calibri"/>
          <w:i/>
          <w:noProof/>
        </w:rPr>
        <w:t>Well completion design</w:t>
      </w:r>
      <w:r w:rsidRPr="00817F40">
        <w:rPr>
          <w:rFonts w:ascii="Calibri" w:hAnsi="Calibri"/>
          <w:noProof/>
        </w:rPr>
        <w:t>. 1st ed. Developments in petroleum science,. 2009, Amsterdam, Netherlands ; Boston, Mass.: Elsevier. xiii, 711 p.</w:t>
      </w:r>
      <w:bookmarkEnd w:id="32"/>
    </w:p>
    <w:p w:rsidR="00817F40" w:rsidRPr="00817F40" w:rsidRDefault="00817F40" w:rsidP="00817F40">
      <w:pPr>
        <w:spacing w:after="0" w:line="240" w:lineRule="auto"/>
        <w:ind w:left="720" w:hanging="720"/>
        <w:rPr>
          <w:rFonts w:ascii="Calibri" w:hAnsi="Calibri"/>
          <w:noProof/>
        </w:rPr>
      </w:pPr>
      <w:bookmarkStart w:id="33" w:name="_ENREF_4"/>
      <w:r w:rsidRPr="00817F40">
        <w:rPr>
          <w:rFonts w:ascii="Calibri" w:hAnsi="Calibri"/>
          <w:noProof/>
        </w:rPr>
        <w:t>4.</w:t>
      </w:r>
      <w:r w:rsidRPr="00817F40">
        <w:rPr>
          <w:rFonts w:ascii="Calibri" w:hAnsi="Calibri"/>
          <w:noProof/>
        </w:rPr>
        <w:tab/>
        <w:t xml:space="preserve">Kinzel, H. and J.G. Martens, </w:t>
      </w:r>
      <w:r w:rsidRPr="00817F40">
        <w:rPr>
          <w:rFonts w:ascii="Calibri" w:hAnsi="Calibri"/>
          <w:i/>
          <w:noProof/>
        </w:rPr>
        <w:t>The Application of New Centralizer Types to Improve Zone Isolation in Horizontal Wells</w:t>
      </w:r>
      <w:r w:rsidRPr="00817F40">
        <w:rPr>
          <w:rFonts w:ascii="Calibri" w:hAnsi="Calibri"/>
          <w:noProof/>
        </w:rPr>
        <w:t xml:space="preserve">, in </w:t>
      </w:r>
      <w:r w:rsidRPr="00817F40">
        <w:rPr>
          <w:rFonts w:ascii="Calibri" w:hAnsi="Calibri"/>
          <w:i/>
          <w:noProof/>
        </w:rPr>
        <w:t>SPE International Oil and Gas Conference and Exhibition in China,</w:t>
      </w:r>
      <w:r w:rsidRPr="00817F40">
        <w:rPr>
          <w:rFonts w:ascii="Calibri" w:hAnsi="Calibri"/>
          <w:noProof/>
        </w:rPr>
        <w:t>. 1998, Society of Petroleum Engineers: Beijing, China.</w:t>
      </w:r>
      <w:bookmarkEnd w:id="33"/>
    </w:p>
    <w:p w:rsidR="00817F40" w:rsidRPr="00817F40" w:rsidRDefault="00817F40" w:rsidP="00817F40">
      <w:pPr>
        <w:spacing w:after="0" w:line="240" w:lineRule="auto"/>
        <w:ind w:left="720" w:hanging="720"/>
        <w:rPr>
          <w:rFonts w:ascii="Calibri" w:hAnsi="Calibri"/>
          <w:noProof/>
        </w:rPr>
      </w:pPr>
      <w:bookmarkStart w:id="34" w:name="_ENREF_5"/>
      <w:r w:rsidRPr="00817F40">
        <w:rPr>
          <w:rFonts w:ascii="Calibri" w:hAnsi="Calibri"/>
          <w:noProof/>
        </w:rPr>
        <w:t>5.</w:t>
      </w:r>
      <w:r w:rsidRPr="00817F40">
        <w:rPr>
          <w:rFonts w:ascii="Calibri" w:hAnsi="Calibri"/>
          <w:noProof/>
        </w:rPr>
        <w:tab/>
        <w:t xml:space="preserve">Pye, S., </w:t>
      </w:r>
      <w:r w:rsidRPr="00817F40">
        <w:rPr>
          <w:rFonts w:ascii="Calibri" w:hAnsi="Calibri"/>
          <w:i/>
          <w:noProof/>
        </w:rPr>
        <w:t>Geothermal Well Design</w:t>
      </w:r>
      <w:r w:rsidRPr="00817F40">
        <w:rPr>
          <w:rFonts w:ascii="Calibri" w:hAnsi="Calibri"/>
          <w:noProof/>
        </w:rPr>
        <w:t>. 2005.</w:t>
      </w:r>
      <w:bookmarkEnd w:id="34"/>
    </w:p>
    <w:p w:rsidR="00817F40" w:rsidRPr="00817F40" w:rsidRDefault="00817F40" w:rsidP="00817F40">
      <w:pPr>
        <w:spacing w:after="0" w:line="240" w:lineRule="auto"/>
        <w:ind w:left="720" w:hanging="720"/>
        <w:rPr>
          <w:rFonts w:ascii="Calibri" w:hAnsi="Calibri"/>
          <w:noProof/>
        </w:rPr>
      </w:pPr>
      <w:bookmarkStart w:id="35" w:name="_ENREF_6"/>
      <w:r w:rsidRPr="00817F40">
        <w:rPr>
          <w:rFonts w:ascii="Calibri" w:hAnsi="Calibri"/>
          <w:noProof/>
        </w:rPr>
        <w:t>6.</w:t>
      </w:r>
      <w:r w:rsidRPr="00817F40">
        <w:rPr>
          <w:rFonts w:ascii="Calibri" w:hAnsi="Calibri"/>
          <w:noProof/>
        </w:rPr>
        <w:tab/>
        <w:t xml:space="preserve">Finger, J., Doug Blankenship, </w:t>
      </w:r>
      <w:r w:rsidRPr="00817F40">
        <w:rPr>
          <w:rFonts w:ascii="Calibri" w:hAnsi="Calibri"/>
          <w:i/>
          <w:noProof/>
        </w:rPr>
        <w:t>Handbook of Best Practices for Geothermal Drilling.</w:t>
      </w:r>
      <w:r w:rsidRPr="00817F40">
        <w:rPr>
          <w:rFonts w:ascii="Calibri" w:hAnsi="Calibri"/>
          <w:noProof/>
        </w:rPr>
        <w:t xml:space="preserve"> SANDIA REPORT, 2010(SAND2010-6048).</w:t>
      </w:r>
      <w:bookmarkEnd w:id="35"/>
    </w:p>
    <w:p w:rsidR="00817F40" w:rsidRPr="00817F40" w:rsidRDefault="00817F40" w:rsidP="00817F40">
      <w:pPr>
        <w:spacing w:after="0" w:line="240" w:lineRule="auto"/>
        <w:ind w:left="720" w:hanging="720"/>
        <w:rPr>
          <w:rFonts w:ascii="Calibri" w:hAnsi="Calibri"/>
          <w:noProof/>
        </w:rPr>
      </w:pPr>
      <w:bookmarkStart w:id="36" w:name="_ENREF_7"/>
      <w:r w:rsidRPr="00817F40">
        <w:rPr>
          <w:rFonts w:ascii="Calibri" w:hAnsi="Calibri"/>
          <w:noProof/>
        </w:rPr>
        <w:t>7.</w:t>
      </w:r>
      <w:r w:rsidRPr="00817F40">
        <w:rPr>
          <w:rFonts w:ascii="Calibri" w:hAnsi="Calibri"/>
          <w:noProof/>
        </w:rPr>
        <w:tab/>
        <w:t xml:space="preserve">Lyons, W.C. and G.J. Plisga, </w:t>
      </w:r>
      <w:r w:rsidRPr="00817F40">
        <w:rPr>
          <w:rFonts w:ascii="Calibri" w:hAnsi="Calibri"/>
          <w:i/>
          <w:noProof/>
        </w:rPr>
        <w:t>Standard handbook of petroleum &amp; natural gas engineering</w:t>
      </w:r>
      <w:r w:rsidRPr="00817F40">
        <w:rPr>
          <w:rFonts w:ascii="Calibri" w:hAnsi="Calibri"/>
          <w:noProof/>
        </w:rPr>
        <w:t>. 2nd ed. 2005, Burlington, MA ; Oxford, UK: Gulf Professional Pub.</w:t>
      </w:r>
      <w:bookmarkEnd w:id="36"/>
    </w:p>
    <w:p w:rsidR="00817F40" w:rsidRPr="00817F40" w:rsidRDefault="00817F40" w:rsidP="00817F40">
      <w:pPr>
        <w:spacing w:after="0" w:line="240" w:lineRule="auto"/>
        <w:ind w:left="720" w:hanging="720"/>
        <w:rPr>
          <w:rFonts w:ascii="Calibri" w:hAnsi="Calibri"/>
          <w:noProof/>
        </w:rPr>
      </w:pPr>
      <w:bookmarkStart w:id="37" w:name="_ENREF_8"/>
      <w:r w:rsidRPr="00817F40">
        <w:rPr>
          <w:rFonts w:ascii="Calibri" w:hAnsi="Calibri"/>
          <w:noProof/>
        </w:rPr>
        <w:t>8.</w:t>
      </w:r>
      <w:r w:rsidRPr="00817F40">
        <w:rPr>
          <w:rFonts w:ascii="Calibri" w:hAnsi="Calibri"/>
          <w:noProof/>
        </w:rPr>
        <w:tab/>
        <w:t>API 5CT Specification for Casing and Tubing, API, 2005</w:t>
      </w:r>
      <w:bookmarkEnd w:id="37"/>
    </w:p>
    <w:p w:rsidR="00817F40" w:rsidRPr="00817F40" w:rsidRDefault="00817F40" w:rsidP="00817F40">
      <w:pPr>
        <w:spacing w:after="0" w:line="240" w:lineRule="auto"/>
        <w:ind w:left="720" w:hanging="720"/>
        <w:rPr>
          <w:rFonts w:ascii="Calibri" w:hAnsi="Calibri"/>
          <w:noProof/>
        </w:rPr>
      </w:pPr>
      <w:bookmarkStart w:id="38" w:name="_ENREF_9"/>
      <w:r w:rsidRPr="00817F40">
        <w:rPr>
          <w:rFonts w:ascii="Calibri" w:hAnsi="Calibri"/>
          <w:noProof/>
        </w:rPr>
        <w:t>9.</w:t>
      </w:r>
      <w:r w:rsidRPr="00817F40">
        <w:rPr>
          <w:rFonts w:ascii="Calibri" w:hAnsi="Calibri"/>
          <w:noProof/>
        </w:rPr>
        <w:tab/>
        <w:t xml:space="preserve">Koons, B.E., D.L. Free, and A.F. Frederick, </w:t>
      </w:r>
      <w:r w:rsidRPr="00817F40">
        <w:rPr>
          <w:rFonts w:ascii="Calibri" w:hAnsi="Calibri"/>
          <w:i/>
          <w:noProof/>
        </w:rPr>
        <w:t>New Design Guidelines for Geothermal Cement Slurries.</w:t>
      </w:r>
      <w:r w:rsidRPr="00817F40">
        <w:rPr>
          <w:rFonts w:ascii="Calibri" w:hAnsi="Calibri"/>
          <w:noProof/>
        </w:rPr>
        <w:t xml:space="preserve"> GRC Transactions, 1993. </w:t>
      </w:r>
      <w:r w:rsidRPr="00817F40">
        <w:rPr>
          <w:rFonts w:ascii="Calibri" w:hAnsi="Calibri"/>
          <w:b/>
          <w:noProof/>
        </w:rPr>
        <w:t>17</w:t>
      </w:r>
      <w:r w:rsidRPr="00817F40">
        <w:rPr>
          <w:rFonts w:ascii="Calibri" w:hAnsi="Calibri"/>
          <w:noProof/>
        </w:rPr>
        <w:t>: p. 43-51.</w:t>
      </w:r>
      <w:bookmarkEnd w:id="38"/>
    </w:p>
    <w:p w:rsidR="00817F40" w:rsidRPr="00817F40" w:rsidRDefault="00817F40" w:rsidP="00817F40">
      <w:pPr>
        <w:spacing w:after="0" w:line="240" w:lineRule="auto"/>
        <w:ind w:left="720" w:hanging="720"/>
        <w:rPr>
          <w:rFonts w:ascii="Calibri" w:hAnsi="Calibri"/>
          <w:noProof/>
        </w:rPr>
      </w:pPr>
      <w:bookmarkStart w:id="39" w:name="_ENREF_10"/>
      <w:r w:rsidRPr="00817F40">
        <w:rPr>
          <w:rFonts w:ascii="Calibri" w:hAnsi="Calibri"/>
          <w:noProof/>
        </w:rPr>
        <w:t>10.</w:t>
      </w:r>
      <w:r w:rsidRPr="00817F40">
        <w:rPr>
          <w:rFonts w:ascii="Calibri" w:hAnsi="Calibri"/>
          <w:noProof/>
        </w:rPr>
        <w:tab/>
        <w:t xml:space="preserve">Hernandez, R., L. Brothers, and R. Martin, </w:t>
      </w:r>
      <w:r w:rsidRPr="00817F40">
        <w:rPr>
          <w:rFonts w:ascii="Calibri" w:hAnsi="Calibri"/>
          <w:i/>
          <w:noProof/>
        </w:rPr>
        <w:t>Silica-Lime Based Hydrothermal Cements for High-Temperature Geothermal Applications.</w:t>
      </w:r>
      <w:r w:rsidRPr="00817F40">
        <w:rPr>
          <w:rFonts w:ascii="Calibri" w:hAnsi="Calibri"/>
          <w:noProof/>
        </w:rPr>
        <w:t xml:space="preserve"> GRC Transactions, 2010. </w:t>
      </w:r>
      <w:r w:rsidRPr="00817F40">
        <w:rPr>
          <w:rFonts w:ascii="Calibri" w:hAnsi="Calibri"/>
          <w:b/>
          <w:noProof/>
        </w:rPr>
        <w:t>34</w:t>
      </w:r>
      <w:r w:rsidRPr="00817F40">
        <w:rPr>
          <w:rFonts w:ascii="Calibri" w:hAnsi="Calibri"/>
          <w:noProof/>
        </w:rPr>
        <w:t>: p. 221-224.</w:t>
      </w:r>
      <w:bookmarkEnd w:id="39"/>
    </w:p>
    <w:p w:rsidR="00817F40" w:rsidRPr="00817F40" w:rsidRDefault="00817F40" w:rsidP="00817F40">
      <w:pPr>
        <w:spacing w:after="0" w:line="240" w:lineRule="auto"/>
        <w:ind w:left="720" w:hanging="720"/>
        <w:rPr>
          <w:rFonts w:ascii="Calibri" w:hAnsi="Calibri"/>
          <w:noProof/>
        </w:rPr>
      </w:pPr>
      <w:bookmarkStart w:id="40" w:name="_ENREF_11"/>
      <w:r w:rsidRPr="00817F40">
        <w:rPr>
          <w:rFonts w:ascii="Calibri" w:hAnsi="Calibri"/>
          <w:noProof/>
        </w:rPr>
        <w:t>11.</w:t>
      </w:r>
      <w:r w:rsidRPr="00817F40">
        <w:rPr>
          <w:rFonts w:ascii="Calibri" w:hAnsi="Calibri"/>
          <w:noProof/>
        </w:rPr>
        <w:tab/>
        <w:t xml:space="preserve">Schlumberger. </w:t>
      </w:r>
      <w:r w:rsidRPr="00817F40">
        <w:rPr>
          <w:rFonts w:ascii="Calibri" w:hAnsi="Calibri"/>
          <w:i/>
          <w:noProof/>
        </w:rPr>
        <w:t>Schlumberger Oilfield Glossary</w:t>
      </w:r>
      <w:r w:rsidRPr="00817F40">
        <w:rPr>
          <w:rFonts w:ascii="Calibri" w:hAnsi="Calibri"/>
          <w:noProof/>
        </w:rPr>
        <w:t xml:space="preserve">.   [cited 2014 February 3]; Available from: </w:t>
      </w:r>
      <w:hyperlink r:id="rId73" w:history="1">
        <w:r w:rsidRPr="00817F40">
          <w:rPr>
            <w:rStyle w:val="Hyperlink"/>
            <w:rFonts w:ascii="Calibri" w:hAnsi="Calibri"/>
            <w:noProof/>
          </w:rPr>
          <w:t>http://www.glossary.oilfield.slb.com/en/Terms/c/cementing_plug.aspx</w:t>
        </w:r>
      </w:hyperlink>
      <w:r w:rsidRPr="00817F40">
        <w:rPr>
          <w:rFonts w:ascii="Calibri" w:hAnsi="Calibri"/>
          <w:noProof/>
        </w:rPr>
        <w:t>.</w:t>
      </w:r>
      <w:bookmarkEnd w:id="40"/>
    </w:p>
    <w:p w:rsidR="00817F40" w:rsidRPr="00817F40" w:rsidRDefault="00817F40" w:rsidP="00817F40">
      <w:pPr>
        <w:spacing w:after="0" w:line="240" w:lineRule="auto"/>
        <w:ind w:left="720" w:hanging="720"/>
        <w:rPr>
          <w:rFonts w:ascii="Calibri" w:hAnsi="Calibri"/>
          <w:noProof/>
        </w:rPr>
      </w:pPr>
      <w:bookmarkStart w:id="41" w:name="_ENREF_12"/>
      <w:r w:rsidRPr="00817F40">
        <w:rPr>
          <w:rFonts w:ascii="Calibri" w:hAnsi="Calibri"/>
          <w:noProof/>
        </w:rPr>
        <w:t>12.</w:t>
      </w:r>
      <w:r w:rsidRPr="00817F40">
        <w:rPr>
          <w:rFonts w:ascii="Calibri" w:hAnsi="Calibri"/>
          <w:noProof/>
        </w:rPr>
        <w:tab/>
        <w:t xml:space="preserve">Support, P. </w:t>
      </w:r>
      <w:r w:rsidRPr="00817F40">
        <w:rPr>
          <w:rFonts w:ascii="Calibri" w:hAnsi="Calibri"/>
          <w:i/>
          <w:noProof/>
        </w:rPr>
        <w:t>Single State Cementing Operation</w:t>
      </w:r>
      <w:r w:rsidRPr="00817F40">
        <w:rPr>
          <w:rFonts w:ascii="Calibri" w:hAnsi="Calibri"/>
          <w:noProof/>
        </w:rPr>
        <w:t xml:space="preserve">.   [cited 2014 February 3]; Available from: </w:t>
      </w:r>
      <w:hyperlink r:id="rId74" w:history="1">
        <w:r w:rsidRPr="00817F40">
          <w:rPr>
            <w:rStyle w:val="Hyperlink"/>
            <w:rFonts w:ascii="Calibri" w:hAnsi="Calibri"/>
            <w:noProof/>
          </w:rPr>
          <w:t>http://petroleumsupport.com/single-stage-cementing-operation/</w:t>
        </w:r>
      </w:hyperlink>
      <w:r w:rsidRPr="00817F40">
        <w:rPr>
          <w:rFonts w:ascii="Calibri" w:hAnsi="Calibri"/>
          <w:noProof/>
        </w:rPr>
        <w:t>.</w:t>
      </w:r>
      <w:bookmarkEnd w:id="41"/>
    </w:p>
    <w:p w:rsidR="00817F40" w:rsidRPr="00817F40" w:rsidRDefault="00817F40" w:rsidP="00817F40">
      <w:pPr>
        <w:spacing w:after="0" w:line="240" w:lineRule="auto"/>
        <w:ind w:left="720" w:hanging="720"/>
        <w:rPr>
          <w:rFonts w:ascii="Calibri" w:hAnsi="Calibri"/>
          <w:noProof/>
        </w:rPr>
      </w:pPr>
      <w:bookmarkStart w:id="42" w:name="_ENREF_13"/>
      <w:r w:rsidRPr="00817F40">
        <w:rPr>
          <w:rFonts w:ascii="Calibri" w:hAnsi="Calibri"/>
          <w:noProof/>
        </w:rPr>
        <w:t>13.</w:t>
      </w:r>
      <w:r w:rsidRPr="00817F40">
        <w:rPr>
          <w:rFonts w:ascii="Calibri" w:hAnsi="Calibri"/>
          <w:noProof/>
        </w:rPr>
        <w:tab/>
        <w:t xml:space="preserve">Hernandez, R. and H. Nguyen, </w:t>
      </w:r>
      <w:r w:rsidRPr="00817F40">
        <w:rPr>
          <w:rFonts w:ascii="Calibri" w:hAnsi="Calibri"/>
          <w:i/>
          <w:noProof/>
        </w:rPr>
        <w:t>Reverse-Circulation Cementing and Foamed Latex Cement Enable Drilling in Lost-Circulation Zones</w:t>
      </w:r>
      <w:r w:rsidRPr="00817F40">
        <w:rPr>
          <w:rFonts w:ascii="Calibri" w:hAnsi="Calibri"/>
          <w:noProof/>
        </w:rPr>
        <w:t xml:space="preserve">, in </w:t>
      </w:r>
      <w:r w:rsidRPr="00817F40">
        <w:rPr>
          <w:rFonts w:ascii="Calibri" w:hAnsi="Calibri"/>
          <w:i/>
          <w:noProof/>
        </w:rPr>
        <w:t>Proceedings World Geothermal Congress 2010</w:t>
      </w:r>
      <w:r w:rsidRPr="00817F40">
        <w:rPr>
          <w:rFonts w:ascii="Calibri" w:hAnsi="Calibri"/>
          <w:noProof/>
        </w:rPr>
        <w:t>. 2010: Bali, Indonesia.</w:t>
      </w:r>
      <w:bookmarkEnd w:id="42"/>
    </w:p>
    <w:p w:rsidR="00817F40" w:rsidRPr="00817F40" w:rsidRDefault="00817F40" w:rsidP="00817F40">
      <w:pPr>
        <w:spacing w:after="0" w:line="240" w:lineRule="auto"/>
        <w:ind w:left="720" w:hanging="720"/>
        <w:rPr>
          <w:rFonts w:ascii="Calibri" w:hAnsi="Calibri"/>
          <w:noProof/>
        </w:rPr>
      </w:pPr>
      <w:bookmarkStart w:id="43" w:name="_ENREF_14"/>
      <w:r w:rsidRPr="00817F40">
        <w:rPr>
          <w:rFonts w:ascii="Calibri" w:hAnsi="Calibri"/>
          <w:noProof/>
        </w:rPr>
        <w:t>14.</w:t>
      </w:r>
      <w:r w:rsidRPr="00817F40">
        <w:rPr>
          <w:rFonts w:ascii="Calibri" w:hAnsi="Calibri"/>
          <w:noProof/>
        </w:rPr>
        <w:tab/>
        <w:t xml:space="preserve">Rickard, B., et al., </w:t>
      </w:r>
      <w:r w:rsidRPr="00817F40">
        <w:rPr>
          <w:rFonts w:ascii="Calibri" w:hAnsi="Calibri"/>
          <w:i/>
          <w:noProof/>
        </w:rPr>
        <w:t>Reverse Circulation Cementing of Geothermal Wells: A Comparison of Methods.</w:t>
      </w:r>
      <w:r w:rsidRPr="00817F40">
        <w:rPr>
          <w:rFonts w:ascii="Calibri" w:hAnsi="Calibri"/>
          <w:noProof/>
        </w:rPr>
        <w:t xml:space="preserve"> GRC Transactions, 2011. </w:t>
      </w:r>
      <w:r w:rsidRPr="00817F40">
        <w:rPr>
          <w:rFonts w:ascii="Calibri" w:hAnsi="Calibri"/>
          <w:b/>
          <w:noProof/>
        </w:rPr>
        <w:t>35</w:t>
      </w:r>
      <w:r w:rsidRPr="00817F40">
        <w:rPr>
          <w:rFonts w:ascii="Calibri" w:hAnsi="Calibri"/>
          <w:noProof/>
        </w:rPr>
        <w:t>: p. 225-228.</w:t>
      </w:r>
      <w:bookmarkEnd w:id="43"/>
    </w:p>
    <w:p w:rsidR="00817F40" w:rsidRPr="00817F40" w:rsidRDefault="00817F40" w:rsidP="00817F40">
      <w:pPr>
        <w:spacing w:after="0" w:line="240" w:lineRule="auto"/>
        <w:ind w:left="720" w:hanging="720"/>
        <w:rPr>
          <w:rFonts w:ascii="Calibri" w:hAnsi="Calibri"/>
          <w:noProof/>
        </w:rPr>
      </w:pPr>
      <w:bookmarkStart w:id="44" w:name="_ENREF_15"/>
      <w:r w:rsidRPr="00817F40">
        <w:rPr>
          <w:rFonts w:ascii="Calibri" w:hAnsi="Calibri"/>
          <w:noProof/>
        </w:rPr>
        <w:t>15.</w:t>
      </w:r>
      <w:r w:rsidRPr="00817F40">
        <w:rPr>
          <w:rFonts w:ascii="Calibri" w:hAnsi="Calibri"/>
          <w:noProof/>
        </w:rPr>
        <w:tab/>
        <w:t xml:space="preserve">Rickard, B., et al., </w:t>
      </w:r>
      <w:r w:rsidRPr="00817F40">
        <w:rPr>
          <w:rFonts w:ascii="Calibri" w:hAnsi="Calibri"/>
          <w:i/>
          <w:noProof/>
        </w:rPr>
        <w:t>Reverse Circulation Cementing of Geothermal Wells: A Comparison of Methods.</w:t>
      </w:r>
      <w:r w:rsidRPr="00817F40">
        <w:rPr>
          <w:rFonts w:ascii="Calibri" w:hAnsi="Calibri"/>
          <w:noProof/>
        </w:rPr>
        <w:t xml:space="preserve"> GRC Transactions, 2011. </w:t>
      </w:r>
      <w:r w:rsidRPr="00817F40">
        <w:rPr>
          <w:rFonts w:ascii="Calibri" w:hAnsi="Calibri"/>
          <w:b/>
          <w:noProof/>
        </w:rPr>
        <w:t>35</w:t>
      </w:r>
      <w:r w:rsidRPr="00817F40">
        <w:rPr>
          <w:rFonts w:ascii="Calibri" w:hAnsi="Calibri"/>
          <w:noProof/>
        </w:rPr>
        <w:t>: p. 225-228.</w:t>
      </w:r>
      <w:bookmarkEnd w:id="44"/>
    </w:p>
    <w:p w:rsidR="00817F40" w:rsidRPr="00817F40" w:rsidRDefault="00817F40" w:rsidP="00817F40">
      <w:pPr>
        <w:spacing w:after="0" w:line="240" w:lineRule="auto"/>
        <w:ind w:left="720" w:hanging="720"/>
        <w:rPr>
          <w:rFonts w:ascii="Calibri" w:hAnsi="Calibri"/>
          <w:noProof/>
        </w:rPr>
      </w:pPr>
      <w:bookmarkStart w:id="45" w:name="_ENREF_16"/>
      <w:r w:rsidRPr="00817F40">
        <w:rPr>
          <w:rFonts w:ascii="Calibri" w:hAnsi="Calibri"/>
          <w:noProof/>
        </w:rPr>
        <w:t>16.</w:t>
      </w:r>
      <w:r w:rsidRPr="00817F40">
        <w:rPr>
          <w:rFonts w:ascii="Calibri" w:hAnsi="Calibri"/>
          <w:noProof/>
        </w:rPr>
        <w:tab/>
        <w:t xml:space="preserve">Transocean, </w:t>
      </w:r>
      <w:r w:rsidRPr="00817F40">
        <w:rPr>
          <w:rFonts w:ascii="Calibri" w:hAnsi="Calibri"/>
          <w:i/>
          <w:noProof/>
        </w:rPr>
        <w:t>Macondo Well Incident: Transocean Investigation Report Volume 1</w:t>
      </w:r>
      <w:r w:rsidRPr="00817F40">
        <w:rPr>
          <w:rFonts w:ascii="Calibri" w:hAnsi="Calibri"/>
          <w:noProof/>
        </w:rPr>
        <w:t>. 2011.</w:t>
      </w:r>
      <w:bookmarkEnd w:id="45"/>
    </w:p>
    <w:p w:rsidR="00817F40" w:rsidRPr="00817F40" w:rsidRDefault="00817F40" w:rsidP="00817F40">
      <w:pPr>
        <w:spacing w:after="0" w:line="240" w:lineRule="auto"/>
        <w:ind w:left="720" w:hanging="720"/>
        <w:rPr>
          <w:rFonts w:ascii="Calibri" w:hAnsi="Calibri"/>
          <w:noProof/>
        </w:rPr>
      </w:pPr>
      <w:bookmarkStart w:id="46" w:name="_ENREF_17"/>
      <w:r w:rsidRPr="00817F40">
        <w:rPr>
          <w:rFonts w:ascii="Calibri" w:hAnsi="Calibri"/>
          <w:noProof/>
        </w:rPr>
        <w:t>17.</w:t>
      </w:r>
      <w:r w:rsidRPr="00817F40">
        <w:rPr>
          <w:rFonts w:ascii="Calibri" w:hAnsi="Calibri"/>
          <w:noProof/>
        </w:rPr>
        <w:tab/>
        <w:t xml:space="preserve">Sanchez, R.A. and W. Adams, </w:t>
      </w:r>
      <w:r w:rsidRPr="00817F40">
        <w:rPr>
          <w:rFonts w:ascii="Calibri" w:hAnsi="Calibri"/>
          <w:i/>
          <w:noProof/>
        </w:rPr>
        <w:t>Casing Centralization in Horizontal and Extended Reach Wells</w:t>
      </w:r>
      <w:r w:rsidRPr="00817F40">
        <w:rPr>
          <w:rFonts w:ascii="Calibri" w:hAnsi="Calibri"/>
          <w:noProof/>
        </w:rPr>
        <w:t xml:space="preserve">, in </w:t>
      </w:r>
      <w:r w:rsidRPr="00817F40">
        <w:rPr>
          <w:rFonts w:ascii="Calibri" w:hAnsi="Calibri"/>
          <w:i/>
          <w:noProof/>
        </w:rPr>
        <w:t>SPE/EAGE European Unconventional Resources Conference and Exhibition</w:t>
      </w:r>
      <w:r w:rsidRPr="00817F40">
        <w:rPr>
          <w:rFonts w:ascii="Calibri" w:hAnsi="Calibri"/>
          <w:noProof/>
        </w:rPr>
        <w:t>. 2012, Society of Petroleum Engineers: Vienna, Austria.</w:t>
      </w:r>
      <w:bookmarkEnd w:id="46"/>
    </w:p>
    <w:p w:rsidR="00817F40" w:rsidRPr="00817F40" w:rsidRDefault="00817F40" w:rsidP="00817F40">
      <w:pPr>
        <w:spacing w:after="0" w:line="240" w:lineRule="auto"/>
        <w:ind w:left="720" w:hanging="720"/>
        <w:rPr>
          <w:rFonts w:ascii="Calibri" w:hAnsi="Calibri"/>
          <w:noProof/>
        </w:rPr>
      </w:pPr>
      <w:bookmarkStart w:id="47" w:name="_ENREF_18"/>
      <w:r w:rsidRPr="00817F40">
        <w:rPr>
          <w:rFonts w:ascii="Calibri" w:hAnsi="Calibri"/>
          <w:noProof/>
        </w:rPr>
        <w:t>18.</w:t>
      </w:r>
      <w:r w:rsidRPr="00817F40">
        <w:rPr>
          <w:rFonts w:ascii="Calibri" w:hAnsi="Calibri"/>
          <w:noProof/>
        </w:rPr>
        <w:tab/>
        <w:t xml:space="preserve">Antelope. </w:t>
      </w:r>
      <w:r w:rsidRPr="00817F40">
        <w:rPr>
          <w:rFonts w:ascii="Calibri" w:hAnsi="Calibri"/>
          <w:i/>
          <w:noProof/>
        </w:rPr>
        <w:t>Series 400 - Positive / Rigid Welded Centralizers</w:t>
      </w:r>
      <w:r w:rsidRPr="00817F40">
        <w:rPr>
          <w:rFonts w:ascii="Calibri" w:hAnsi="Calibri"/>
          <w:noProof/>
        </w:rPr>
        <w:t xml:space="preserve">.  2014  [cited 2014 January, 27]; Antelope Oil Tool: Available from: </w:t>
      </w:r>
      <w:hyperlink r:id="rId75" w:history="1">
        <w:r w:rsidRPr="00817F40">
          <w:rPr>
            <w:rStyle w:val="Hyperlink"/>
            <w:rFonts w:ascii="Calibri" w:hAnsi="Calibri"/>
            <w:noProof/>
          </w:rPr>
          <w:t>http://www.antelopeoiltool.com/products/series-400-positive-rigid-welded-centralizers.html</w:t>
        </w:r>
      </w:hyperlink>
      <w:r w:rsidRPr="00817F40">
        <w:rPr>
          <w:rFonts w:ascii="Calibri" w:hAnsi="Calibri"/>
          <w:noProof/>
        </w:rPr>
        <w:t>.</w:t>
      </w:r>
      <w:bookmarkEnd w:id="47"/>
    </w:p>
    <w:p w:rsidR="00817F40" w:rsidRPr="00817F40" w:rsidRDefault="00817F40" w:rsidP="00817F40">
      <w:pPr>
        <w:spacing w:after="0" w:line="240" w:lineRule="auto"/>
        <w:ind w:left="720" w:hanging="720"/>
        <w:rPr>
          <w:rFonts w:ascii="Calibri" w:hAnsi="Calibri"/>
          <w:noProof/>
        </w:rPr>
      </w:pPr>
      <w:bookmarkStart w:id="48" w:name="_ENREF_19"/>
      <w:r w:rsidRPr="00817F40">
        <w:rPr>
          <w:rFonts w:ascii="Calibri" w:hAnsi="Calibri"/>
          <w:noProof/>
        </w:rPr>
        <w:t>19.</w:t>
      </w:r>
      <w:r w:rsidRPr="00817F40">
        <w:rPr>
          <w:rFonts w:ascii="Calibri" w:hAnsi="Calibri"/>
          <w:noProof/>
        </w:rPr>
        <w:tab/>
        <w:t>API Spec 10D Specification for Bow-Spring Casing Centralizers, API, 2010</w:t>
      </w:r>
      <w:bookmarkEnd w:id="48"/>
    </w:p>
    <w:p w:rsidR="00817F40" w:rsidRPr="00817F40" w:rsidRDefault="00817F40" w:rsidP="00817F40">
      <w:pPr>
        <w:spacing w:after="0" w:line="240" w:lineRule="auto"/>
        <w:ind w:left="720" w:hanging="720"/>
        <w:rPr>
          <w:rFonts w:ascii="Calibri" w:hAnsi="Calibri"/>
          <w:noProof/>
        </w:rPr>
      </w:pPr>
      <w:bookmarkStart w:id="49" w:name="_ENREF_20"/>
      <w:r w:rsidRPr="00817F40">
        <w:rPr>
          <w:rFonts w:ascii="Calibri" w:hAnsi="Calibri"/>
          <w:noProof/>
        </w:rPr>
        <w:t>20.</w:t>
      </w:r>
      <w:r w:rsidRPr="00817F40">
        <w:rPr>
          <w:rFonts w:ascii="Calibri" w:hAnsi="Calibri"/>
          <w:noProof/>
        </w:rPr>
        <w:tab/>
        <w:t xml:space="preserve">Kinzel, H. and J.G. Martens, </w:t>
      </w:r>
      <w:r w:rsidRPr="00817F40">
        <w:rPr>
          <w:rFonts w:ascii="Calibri" w:hAnsi="Calibri"/>
          <w:i/>
          <w:noProof/>
        </w:rPr>
        <w:t>The Application of New Centralizer Types to Improve Zone Isolation in Horizontal Wells</w:t>
      </w:r>
      <w:r w:rsidRPr="00817F40">
        <w:rPr>
          <w:rFonts w:ascii="Calibri" w:hAnsi="Calibri"/>
          <w:noProof/>
        </w:rPr>
        <w:t>. 1998.</w:t>
      </w:r>
      <w:bookmarkEnd w:id="49"/>
    </w:p>
    <w:p w:rsidR="00817F40" w:rsidRPr="00817F40" w:rsidRDefault="00817F40" w:rsidP="00817F40">
      <w:pPr>
        <w:spacing w:after="0" w:line="240" w:lineRule="auto"/>
        <w:ind w:left="720" w:hanging="720"/>
        <w:rPr>
          <w:rFonts w:ascii="Calibri" w:hAnsi="Calibri"/>
          <w:noProof/>
        </w:rPr>
      </w:pPr>
      <w:bookmarkStart w:id="50" w:name="_ENREF_21"/>
      <w:r w:rsidRPr="00817F40">
        <w:rPr>
          <w:rFonts w:ascii="Calibri" w:hAnsi="Calibri"/>
          <w:noProof/>
        </w:rPr>
        <w:t>21.</w:t>
      </w:r>
      <w:r w:rsidRPr="00817F40">
        <w:rPr>
          <w:rFonts w:ascii="Calibri" w:hAnsi="Calibri"/>
          <w:noProof/>
        </w:rPr>
        <w:tab/>
        <w:t xml:space="preserve">Halliburton, </w:t>
      </w:r>
      <w:r w:rsidRPr="00817F40">
        <w:rPr>
          <w:rFonts w:ascii="Calibri" w:hAnsi="Calibri"/>
          <w:i/>
          <w:noProof/>
        </w:rPr>
        <w:t>Protech CRB Centralizers</w:t>
      </w:r>
      <w:r w:rsidRPr="00817F40">
        <w:rPr>
          <w:rFonts w:ascii="Calibri" w:hAnsi="Calibri"/>
          <w:noProof/>
        </w:rPr>
        <w:t>. 2010, Halliburton Cementing.</w:t>
      </w:r>
      <w:bookmarkEnd w:id="50"/>
    </w:p>
    <w:p w:rsidR="00817F40" w:rsidRPr="00817F40" w:rsidRDefault="00817F40" w:rsidP="00817F40">
      <w:pPr>
        <w:spacing w:after="0" w:line="240" w:lineRule="auto"/>
        <w:ind w:left="720" w:hanging="720"/>
        <w:rPr>
          <w:rFonts w:ascii="Calibri" w:hAnsi="Calibri"/>
          <w:noProof/>
        </w:rPr>
      </w:pPr>
      <w:bookmarkStart w:id="51" w:name="_ENREF_22"/>
      <w:r w:rsidRPr="00817F40">
        <w:rPr>
          <w:rFonts w:ascii="Calibri" w:hAnsi="Calibri"/>
          <w:noProof/>
        </w:rPr>
        <w:t>22.</w:t>
      </w:r>
      <w:r w:rsidRPr="00817F40">
        <w:rPr>
          <w:rFonts w:ascii="Calibri" w:hAnsi="Calibri"/>
          <w:noProof/>
        </w:rPr>
        <w:tab/>
        <w:t xml:space="preserve">TESCO, </w:t>
      </w:r>
      <w:r w:rsidRPr="00817F40">
        <w:rPr>
          <w:rFonts w:ascii="Calibri" w:hAnsi="Calibri"/>
          <w:i/>
          <w:noProof/>
        </w:rPr>
        <w:t>Hydro-Form Centralizers</w:t>
      </w:r>
      <w:r w:rsidRPr="00817F40">
        <w:rPr>
          <w:rFonts w:ascii="Calibri" w:hAnsi="Calibri"/>
          <w:noProof/>
        </w:rPr>
        <w:t>, TESCO Corporation.</w:t>
      </w:r>
      <w:bookmarkEnd w:id="51"/>
    </w:p>
    <w:p w:rsidR="00817F40" w:rsidRPr="00817F40" w:rsidRDefault="00817F40" w:rsidP="00817F40">
      <w:pPr>
        <w:spacing w:after="0" w:line="240" w:lineRule="auto"/>
        <w:ind w:left="720" w:hanging="720"/>
        <w:rPr>
          <w:rFonts w:ascii="Calibri" w:hAnsi="Calibri"/>
          <w:noProof/>
        </w:rPr>
      </w:pPr>
      <w:bookmarkStart w:id="52" w:name="_ENREF_23"/>
      <w:r w:rsidRPr="00817F40">
        <w:rPr>
          <w:rFonts w:ascii="Calibri" w:hAnsi="Calibri"/>
          <w:noProof/>
        </w:rPr>
        <w:t>23.</w:t>
      </w:r>
      <w:r w:rsidRPr="00817F40">
        <w:rPr>
          <w:rFonts w:ascii="Calibri" w:hAnsi="Calibri"/>
          <w:noProof/>
        </w:rPr>
        <w:tab/>
        <w:t xml:space="preserve">Gammage, J.H., </w:t>
      </w:r>
      <w:r w:rsidRPr="00817F40">
        <w:rPr>
          <w:rFonts w:ascii="Calibri" w:hAnsi="Calibri"/>
          <w:i/>
          <w:noProof/>
        </w:rPr>
        <w:t>Advances in Casing Centralization Using Spray Metal Technology</w:t>
      </w:r>
      <w:r w:rsidRPr="00817F40">
        <w:rPr>
          <w:rFonts w:ascii="Calibri" w:hAnsi="Calibri"/>
          <w:noProof/>
        </w:rPr>
        <w:t xml:space="preserve">, in </w:t>
      </w:r>
      <w:r w:rsidRPr="00817F40">
        <w:rPr>
          <w:rFonts w:ascii="Calibri" w:hAnsi="Calibri"/>
          <w:i/>
          <w:noProof/>
        </w:rPr>
        <w:t>Offshore Technology Conference</w:t>
      </w:r>
      <w:r w:rsidRPr="00817F40">
        <w:rPr>
          <w:rFonts w:ascii="Calibri" w:hAnsi="Calibri"/>
          <w:noProof/>
        </w:rPr>
        <w:t>. 2011, OTC: Houston, TX.</w:t>
      </w:r>
      <w:bookmarkEnd w:id="52"/>
    </w:p>
    <w:p w:rsidR="00817F40" w:rsidRPr="00817F40" w:rsidRDefault="00817F40" w:rsidP="00817F40">
      <w:pPr>
        <w:spacing w:after="0" w:line="240" w:lineRule="auto"/>
        <w:ind w:left="720" w:hanging="720"/>
        <w:rPr>
          <w:rFonts w:ascii="Calibri" w:hAnsi="Calibri"/>
          <w:noProof/>
        </w:rPr>
      </w:pPr>
      <w:bookmarkStart w:id="53" w:name="_ENREF_24"/>
      <w:r w:rsidRPr="00817F40">
        <w:rPr>
          <w:rFonts w:ascii="Calibri" w:hAnsi="Calibri"/>
          <w:noProof/>
        </w:rPr>
        <w:lastRenderedPageBreak/>
        <w:t>24.</w:t>
      </w:r>
      <w:r w:rsidRPr="00817F40">
        <w:rPr>
          <w:rFonts w:ascii="Calibri" w:hAnsi="Calibri"/>
          <w:noProof/>
        </w:rPr>
        <w:tab/>
        <w:t xml:space="preserve">Weatherford, </w:t>
      </w:r>
      <w:r w:rsidRPr="00817F40">
        <w:rPr>
          <w:rFonts w:ascii="Calibri" w:hAnsi="Calibri"/>
          <w:i/>
          <w:noProof/>
        </w:rPr>
        <w:t>Mechanical Cementing Products</w:t>
      </w:r>
      <w:r w:rsidRPr="00817F40">
        <w:rPr>
          <w:rFonts w:ascii="Calibri" w:hAnsi="Calibri"/>
          <w:noProof/>
        </w:rPr>
        <w:t>. 2009, Weatherford International Ltd.</w:t>
      </w:r>
      <w:bookmarkEnd w:id="53"/>
    </w:p>
    <w:p w:rsidR="00817F40" w:rsidRPr="00817F40" w:rsidRDefault="00817F40" w:rsidP="00817F40">
      <w:pPr>
        <w:spacing w:after="0" w:line="240" w:lineRule="auto"/>
        <w:ind w:left="720" w:hanging="720"/>
        <w:rPr>
          <w:rFonts w:ascii="Calibri" w:hAnsi="Calibri"/>
          <w:noProof/>
        </w:rPr>
      </w:pPr>
      <w:bookmarkStart w:id="54" w:name="_ENREF_25"/>
      <w:r w:rsidRPr="00817F40">
        <w:rPr>
          <w:rFonts w:ascii="Calibri" w:hAnsi="Calibri"/>
          <w:noProof/>
        </w:rPr>
        <w:t>25.</w:t>
      </w:r>
      <w:r w:rsidRPr="00817F40">
        <w:rPr>
          <w:rFonts w:ascii="Calibri" w:hAnsi="Calibri"/>
          <w:noProof/>
        </w:rPr>
        <w:tab/>
        <w:t xml:space="preserve">Juvkam-Wold, H.C. and J. Wu, </w:t>
      </w:r>
      <w:r w:rsidRPr="00817F40">
        <w:rPr>
          <w:rFonts w:ascii="Calibri" w:hAnsi="Calibri"/>
          <w:i/>
          <w:noProof/>
        </w:rPr>
        <w:t>Casing Deflection and Centralizer Spacing Calculations.</w:t>
      </w:r>
      <w:r w:rsidRPr="00817F40">
        <w:rPr>
          <w:rFonts w:ascii="Calibri" w:hAnsi="Calibri"/>
          <w:noProof/>
        </w:rPr>
        <w:t xml:space="preserve"> SPE Drilling Engineering, 1992. </w:t>
      </w:r>
      <w:r w:rsidRPr="00817F40">
        <w:rPr>
          <w:rFonts w:ascii="Calibri" w:hAnsi="Calibri"/>
          <w:b/>
          <w:noProof/>
        </w:rPr>
        <w:t>7</w:t>
      </w:r>
      <w:r w:rsidRPr="00817F40">
        <w:rPr>
          <w:rFonts w:ascii="Calibri" w:hAnsi="Calibri"/>
          <w:noProof/>
        </w:rPr>
        <w:t>(04): p. 268-274.</w:t>
      </w:r>
      <w:bookmarkEnd w:id="54"/>
    </w:p>
    <w:p w:rsidR="00817F40" w:rsidRPr="00817F40" w:rsidRDefault="00817F40" w:rsidP="00817F40">
      <w:pPr>
        <w:spacing w:after="0" w:line="240" w:lineRule="auto"/>
        <w:ind w:left="720" w:hanging="720"/>
        <w:rPr>
          <w:rFonts w:ascii="Calibri" w:hAnsi="Calibri"/>
          <w:noProof/>
        </w:rPr>
      </w:pPr>
      <w:bookmarkStart w:id="55" w:name="_ENREF_26"/>
      <w:r w:rsidRPr="00817F40">
        <w:rPr>
          <w:rFonts w:ascii="Calibri" w:hAnsi="Calibri"/>
          <w:noProof/>
        </w:rPr>
        <w:t>26.</w:t>
      </w:r>
      <w:r w:rsidRPr="00817F40">
        <w:rPr>
          <w:rFonts w:ascii="Calibri" w:hAnsi="Calibri"/>
          <w:noProof/>
        </w:rPr>
        <w:tab/>
        <w:t xml:space="preserve">Blanco, A., V. Ciccola, and E. Limongi, </w:t>
      </w:r>
      <w:r w:rsidRPr="00817F40">
        <w:rPr>
          <w:rFonts w:ascii="Calibri" w:hAnsi="Calibri"/>
          <w:i/>
          <w:noProof/>
        </w:rPr>
        <w:t>Casing Centralization in Horizontal and Highly Inclined Wellbores</w:t>
      </w:r>
      <w:r w:rsidRPr="00817F40">
        <w:rPr>
          <w:rFonts w:ascii="Calibri" w:hAnsi="Calibri"/>
          <w:noProof/>
        </w:rPr>
        <w:t>. 2000.</w:t>
      </w:r>
      <w:bookmarkEnd w:id="55"/>
    </w:p>
    <w:p w:rsidR="00817F40" w:rsidRPr="00817F40" w:rsidRDefault="00817F40" w:rsidP="00817F40">
      <w:pPr>
        <w:spacing w:after="0" w:line="240" w:lineRule="auto"/>
        <w:ind w:left="720" w:hanging="720"/>
        <w:rPr>
          <w:rFonts w:ascii="Calibri" w:hAnsi="Calibri"/>
          <w:noProof/>
        </w:rPr>
      </w:pPr>
      <w:bookmarkStart w:id="56" w:name="_ENREF_27"/>
      <w:r w:rsidRPr="00817F40">
        <w:rPr>
          <w:rFonts w:ascii="Calibri" w:hAnsi="Calibri"/>
          <w:noProof/>
        </w:rPr>
        <w:t>27.</w:t>
      </w:r>
      <w:r w:rsidRPr="00817F40">
        <w:rPr>
          <w:rFonts w:ascii="Calibri" w:hAnsi="Calibri"/>
          <w:noProof/>
        </w:rPr>
        <w:tab/>
        <w:t>API RP 10D-2 Recommended Practice for Centralizer Placement and Stop-collar Testing, API, 2010</w:t>
      </w:r>
      <w:bookmarkEnd w:id="56"/>
    </w:p>
    <w:p w:rsidR="00817F40" w:rsidRPr="00817F40" w:rsidRDefault="00817F40" w:rsidP="00817F40">
      <w:pPr>
        <w:spacing w:after="0" w:line="240" w:lineRule="auto"/>
        <w:ind w:left="720" w:hanging="720"/>
        <w:rPr>
          <w:rFonts w:ascii="Calibri" w:hAnsi="Calibri"/>
          <w:noProof/>
        </w:rPr>
      </w:pPr>
      <w:bookmarkStart w:id="57" w:name="_ENREF_28"/>
      <w:r w:rsidRPr="00817F40">
        <w:rPr>
          <w:rFonts w:ascii="Calibri" w:hAnsi="Calibri"/>
          <w:noProof/>
        </w:rPr>
        <w:t>28.</w:t>
      </w:r>
      <w:r w:rsidRPr="00817F40">
        <w:rPr>
          <w:rFonts w:ascii="Calibri" w:hAnsi="Calibri"/>
          <w:noProof/>
        </w:rPr>
        <w:tab/>
        <w:t xml:space="preserve">Antelope. </w:t>
      </w:r>
      <w:r w:rsidRPr="00817F40">
        <w:rPr>
          <w:rFonts w:ascii="Calibri" w:hAnsi="Calibri"/>
          <w:i/>
          <w:noProof/>
        </w:rPr>
        <w:t>Series 200 - Stop Collars</w:t>
      </w:r>
      <w:r w:rsidRPr="00817F40">
        <w:rPr>
          <w:rFonts w:ascii="Calibri" w:hAnsi="Calibri"/>
          <w:noProof/>
        </w:rPr>
        <w:t xml:space="preserve">.  2014  [cited 2014 January, 27]; Antelope Oil Tool: Available from: </w:t>
      </w:r>
      <w:hyperlink r:id="rId76" w:history="1">
        <w:r w:rsidRPr="00817F40">
          <w:rPr>
            <w:rStyle w:val="Hyperlink"/>
            <w:rFonts w:ascii="Calibri" w:hAnsi="Calibri"/>
            <w:noProof/>
          </w:rPr>
          <w:t>http://www.antelopeoiltool.com/products/series-200-stop-collars.html</w:t>
        </w:r>
      </w:hyperlink>
      <w:r w:rsidRPr="00817F40">
        <w:rPr>
          <w:rFonts w:ascii="Calibri" w:hAnsi="Calibri"/>
          <w:noProof/>
        </w:rPr>
        <w:t>.</w:t>
      </w:r>
      <w:bookmarkEnd w:id="57"/>
    </w:p>
    <w:p w:rsidR="00817F40" w:rsidRPr="00817F40" w:rsidRDefault="00817F40" w:rsidP="00817F40">
      <w:pPr>
        <w:spacing w:after="0" w:line="240" w:lineRule="auto"/>
        <w:ind w:left="720" w:hanging="720"/>
        <w:rPr>
          <w:rFonts w:ascii="Calibri" w:hAnsi="Calibri"/>
          <w:noProof/>
        </w:rPr>
      </w:pPr>
      <w:bookmarkStart w:id="58" w:name="_ENREF_29"/>
      <w:r w:rsidRPr="00817F40">
        <w:rPr>
          <w:rFonts w:ascii="Calibri" w:hAnsi="Calibri"/>
          <w:noProof/>
        </w:rPr>
        <w:t>29.</w:t>
      </w:r>
      <w:r w:rsidRPr="00817F40">
        <w:rPr>
          <w:rFonts w:ascii="Calibri" w:hAnsi="Calibri"/>
          <w:noProof/>
        </w:rPr>
        <w:tab/>
        <w:t xml:space="preserve">Peterson, E.M., et al., </w:t>
      </w:r>
      <w:r w:rsidRPr="00817F40">
        <w:rPr>
          <w:rFonts w:ascii="Calibri" w:hAnsi="Calibri"/>
          <w:i/>
          <w:noProof/>
        </w:rPr>
        <w:t>How Much is Left of Your Centralizer After Exiting a Casing Window in an Extended Reach Horizontal Multi-Lateral? Modeling, Yard Tests, and Field Results from Alaska's West Sak Development</w:t>
      </w:r>
      <w:r w:rsidRPr="00817F40">
        <w:rPr>
          <w:rFonts w:ascii="Calibri" w:hAnsi="Calibri"/>
          <w:noProof/>
        </w:rPr>
        <w:t>.</w:t>
      </w:r>
      <w:bookmarkEnd w:id="58"/>
    </w:p>
    <w:p w:rsidR="00817F40" w:rsidRPr="00817F40" w:rsidRDefault="00817F40" w:rsidP="00817F40">
      <w:pPr>
        <w:spacing w:after="0" w:line="240" w:lineRule="auto"/>
        <w:ind w:left="720" w:hanging="720"/>
        <w:rPr>
          <w:rFonts w:ascii="Calibri" w:hAnsi="Calibri"/>
          <w:noProof/>
        </w:rPr>
      </w:pPr>
      <w:bookmarkStart w:id="59" w:name="_ENREF_30"/>
      <w:r w:rsidRPr="00817F40">
        <w:rPr>
          <w:rFonts w:ascii="Calibri" w:hAnsi="Calibri"/>
          <w:noProof/>
        </w:rPr>
        <w:t>30.</w:t>
      </w:r>
      <w:r w:rsidRPr="00817F40">
        <w:rPr>
          <w:rFonts w:ascii="Calibri" w:hAnsi="Calibri"/>
          <w:noProof/>
        </w:rPr>
        <w:tab/>
        <w:t xml:space="preserve">Kinzel, H. and A. Calderoni, </w:t>
      </w:r>
      <w:r w:rsidRPr="00817F40">
        <w:rPr>
          <w:rFonts w:ascii="Calibri" w:hAnsi="Calibri"/>
          <w:i/>
          <w:noProof/>
        </w:rPr>
        <w:t>Field Test of a Downhole-Activated Centralizer To Reduce Casing Drag.</w:t>
      </w:r>
      <w:r w:rsidRPr="00817F40">
        <w:rPr>
          <w:rFonts w:ascii="Calibri" w:hAnsi="Calibri"/>
          <w:noProof/>
        </w:rPr>
        <w:t xml:space="preserve"> SPE Drilling &amp; Completion, 1995. </w:t>
      </w:r>
      <w:r w:rsidRPr="00817F40">
        <w:rPr>
          <w:rFonts w:ascii="Calibri" w:hAnsi="Calibri"/>
          <w:b/>
          <w:noProof/>
        </w:rPr>
        <w:t>10</w:t>
      </w:r>
      <w:r w:rsidRPr="00817F40">
        <w:rPr>
          <w:rFonts w:ascii="Calibri" w:hAnsi="Calibri"/>
          <w:noProof/>
        </w:rPr>
        <w:t>(02): p. 112-114.</w:t>
      </w:r>
      <w:bookmarkEnd w:id="59"/>
    </w:p>
    <w:p w:rsidR="00817F40" w:rsidRPr="00817F40" w:rsidRDefault="00817F40" w:rsidP="00817F40">
      <w:pPr>
        <w:spacing w:line="240" w:lineRule="auto"/>
        <w:ind w:left="720" w:hanging="720"/>
        <w:rPr>
          <w:rFonts w:ascii="Calibri" w:hAnsi="Calibri"/>
          <w:noProof/>
        </w:rPr>
      </w:pPr>
      <w:bookmarkStart w:id="60" w:name="_ENREF_31"/>
      <w:r w:rsidRPr="00817F40">
        <w:rPr>
          <w:rFonts w:ascii="Calibri" w:hAnsi="Calibri"/>
          <w:noProof/>
        </w:rPr>
        <w:t>31.</w:t>
      </w:r>
      <w:r w:rsidRPr="00817F40">
        <w:rPr>
          <w:rFonts w:ascii="Calibri" w:hAnsi="Calibri"/>
          <w:noProof/>
        </w:rPr>
        <w:tab/>
        <w:t xml:space="preserve">Antelope. </w:t>
      </w:r>
      <w:r w:rsidRPr="00817F40">
        <w:rPr>
          <w:rFonts w:ascii="Calibri" w:hAnsi="Calibri"/>
          <w:i/>
          <w:noProof/>
        </w:rPr>
        <w:t>Series 500 - Hinged, Welded, Standard Bow Centralizers</w:t>
      </w:r>
      <w:r w:rsidRPr="00817F40">
        <w:rPr>
          <w:rFonts w:ascii="Calibri" w:hAnsi="Calibri"/>
          <w:noProof/>
        </w:rPr>
        <w:t xml:space="preserve">.  2014  [cited 2014 January, 27]; Antelope Oil Tool: Available from: </w:t>
      </w:r>
      <w:hyperlink r:id="rId77" w:history="1">
        <w:r w:rsidRPr="00817F40">
          <w:rPr>
            <w:rStyle w:val="Hyperlink"/>
            <w:rFonts w:ascii="Calibri" w:hAnsi="Calibri"/>
            <w:noProof/>
          </w:rPr>
          <w:t>http://www.antelopeoiltool.com/products/series-500-hinged-welded-standard-bow-centralizers.html</w:t>
        </w:r>
      </w:hyperlink>
      <w:r w:rsidRPr="00817F40">
        <w:rPr>
          <w:rFonts w:ascii="Calibri" w:hAnsi="Calibri"/>
          <w:noProof/>
        </w:rPr>
        <w:t>.</w:t>
      </w:r>
      <w:bookmarkEnd w:id="60"/>
    </w:p>
    <w:p w:rsidR="00817F40" w:rsidRDefault="00817F40" w:rsidP="00817F40">
      <w:pPr>
        <w:spacing w:line="240" w:lineRule="auto"/>
        <w:rPr>
          <w:rFonts w:ascii="Calibri" w:hAnsi="Calibri"/>
          <w:noProof/>
        </w:rPr>
      </w:pPr>
    </w:p>
    <w:p w:rsidR="00411BC5" w:rsidRPr="00903FB0" w:rsidRDefault="003632A3" w:rsidP="00903FB0">
      <w:r>
        <w:fldChar w:fldCharType="end"/>
      </w:r>
    </w:p>
    <w:sectPr w:rsidR="00411BC5" w:rsidRPr="00903FB0">
      <w:headerReference w:type="even" r:id="rId78"/>
      <w:headerReference w:type="default" r:id="rId79"/>
      <w:footerReference w:type="even" r:id="rId80"/>
      <w:footerReference w:type="default" r:id="rId81"/>
      <w:headerReference w:type="first" r:id="rId82"/>
      <w:footerReference w:type="first" r:id="rId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AFE" w:rsidRDefault="00D14AFE" w:rsidP="00F02C41">
      <w:pPr>
        <w:spacing w:after="0" w:line="240" w:lineRule="auto"/>
      </w:pPr>
      <w:r>
        <w:separator/>
      </w:r>
    </w:p>
  </w:endnote>
  <w:endnote w:type="continuationSeparator" w:id="0">
    <w:p w:rsidR="00D14AFE" w:rsidRDefault="00D14AFE" w:rsidP="00F02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93B" w:rsidRDefault="004B49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93B" w:rsidRDefault="004B49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93B" w:rsidRDefault="004B49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AFE" w:rsidRDefault="00D14AFE" w:rsidP="00F02C41">
      <w:pPr>
        <w:spacing w:after="0" w:line="240" w:lineRule="auto"/>
      </w:pPr>
      <w:r>
        <w:separator/>
      </w:r>
    </w:p>
  </w:footnote>
  <w:footnote w:type="continuationSeparator" w:id="0">
    <w:p w:rsidR="00D14AFE" w:rsidRDefault="00D14AFE" w:rsidP="00F02C41">
      <w:pPr>
        <w:spacing w:after="0" w:line="240" w:lineRule="auto"/>
      </w:pPr>
      <w:r>
        <w:continuationSeparator/>
      </w:r>
    </w:p>
  </w:footnote>
  <w:footnote w:id="1">
    <w:p w:rsidR="004B493B" w:rsidRDefault="004B493B" w:rsidP="00292CBE">
      <w:pPr>
        <w:pStyle w:val="FootnoteText"/>
      </w:pPr>
      <w:r>
        <w:rPr>
          <w:rStyle w:val="FootnoteReference"/>
        </w:rPr>
        <w:footnoteRef/>
      </w:r>
      <w:r>
        <w:t xml:space="preserve"> The Bearden unit is a dimensionless quantity without a direct conversion to viscosity.</w:t>
      </w:r>
    </w:p>
  </w:footnote>
  <w:footnote w:id="2">
    <w:p w:rsidR="004B493B" w:rsidRDefault="004B493B">
      <w:pPr>
        <w:pStyle w:val="FootnoteText"/>
      </w:pPr>
      <w:r>
        <w:rPr>
          <w:rStyle w:val="FootnoteReference"/>
        </w:rPr>
        <w:footnoteRef/>
      </w:r>
      <w:r>
        <w:t xml:space="preserve"> Spacer fluid separates the drilling mud from the cement slurry.  The spacer removes drilling mud ahead of the cement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93B" w:rsidRDefault="004B49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93B" w:rsidRDefault="004B49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93B" w:rsidRDefault="004B49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932CC"/>
    <w:multiLevelType w:val="hybridMultilevel"/>
    <w:tmpl w:val="29DE9E04"/>
    <w:lvl w:ilvl="0" w:tplc="E7C89262">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50195C"/>
    <w:multiLevelType w:val="hybridMultilevel"/>
    <w:tmpl w:val="1B46BA68"/>
    <w:lvl w:ilvl="0" w:tplc="DA2081C0">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E543CA"/>
    <w:multiLevelType w:val="hybridMultilevel"/>
    <w:tmpl w:val="7D28C3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3300A8"/>
    <w:multiLevelType w:val="hybridMultilevel"/>
    <w:tmpl w:val="017EA516"/>
    <w:lvl w:ilvl="0" w:tplc="6CAC8D30">
      <w:start w:val="2"/>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5A3DCC"/>
    <w:multiLevelType w:val="hybridMultilevel"/>
    <w:tmpl w:val="ECF6391E"/>
    <w:lvl w:ilvl="0" w:tplc="329A9732">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JSu&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wzxp2sses9f5deexw8xe0tjf5f2wep0epv9&quot;&gt;JSu_bibs&lt;record-ids&gt;&lt;item&gt;392&lt;/item&gt;&lt;item&gt;404&lt;/item&gt;&lt;item&gt;406&lt;/item&gt;&lt;item&gt;407&lt;/item&gt;&lt;item&gt;408&lt;/item&gt;&lt;item&gt;410&lt;/item&gt;&lt;item&gt;412&lt;/item&gt;&lt;item&gt;415&lt;/item&gt;&lt;item&gt;416&lt;/item&gt;&lt;item&gt;419&lt;/item&gt;&lt;item&gt;424&lt;/item&gt;&lt;item&gt;427&lt;/item&gt;&lt;item&gt;428&lt;/item&gt;&lt;item&gt;429&lt;/item&gt;&lt;item&gt;430&lt;/item&gt;&lt;item&gt;431&lt;/item&gt;&lt;item&gt;435&lt;/item&gt;&lt;item&gt;436&lt;/item&gt;&lt;item&gt;437&lt;/item&gt;&lt;item&gt;439&lt;/item&gt;&lt;item&gt;440&lt;/item&gt;&lt;item&gt;441&lt;/item&gt;&lt;item&gt;443&lt;/item&gt;&lt;item&gt;444&lt;/item&gt;&lt;item&gt;445&lt;/item&gt;&lt;item&gt;446&lt;/item&gt;&lt;item&gt;447&lt;/item&gt;&lt;item&gt;450&lt;/item&gt;&lt;item&gt;452&lt;/item&gt;&lt;item&gt;453&lt;/item&gt;&lt;/record-ids&gt;&lt;/item&gt;&lt;/Libraries&gt;"/>
  </w:docVars>
  <w:rsids>
    <w:rsidRoot w:val="00E65A65"/>
    <w:rsid w:val="000143C9"/>
    <w:rsid w:val="00014C74"/>
    <w:rsid w:val="00017AD5"/>
    <w:rsid w:val="00036E56"/>
    <w:rsid w:val="000423E6"/>
    <w:rsid w:val="00043B8E"/>
    <w:rsid w:val="00044000"/>
    <w:rsid w:val="00045518"/>
    <w:rsid w:val="000536AF"/>
    <w:rsid w:val="00060053"/>
    <w:rsid w:val="0006023B"/>
    <w:rsid w:val="00071832"/>
    <w:rsid w:val="000729D3"/>
    <w:rsid w:val="0007530F"/>
    <w:rsid w:val="00080138"/>
    <w:rsid w:val="00086430"/>
    <w:rsid w:val="00086521"/>
    <w:rsid w:val="000A187E"/>
    <w:rsid w:val="000A2B35"/>
    <w:rsid w:val="000A3AB3"/>
    <w:rsid w:val="000A41BB"/>
    <w:rsid w:val="000A6AE1"/>
    <w:rsid w:val="000B22C7"/>
    <w:rsid w:val="000B4EE0"/>
    <w:rsid w:val="000B6F13"/>
    <w:rsid w:val="000C027A"/>
    <w:rsid w:val="000C0C12"/>
    <w:rsid w:val="000C3724"/>
    <w:rsid w:val="000D1405"/>
    <w:rsid w:val="000D297D"/>
    <w:rsid w:val="000E05FE"/>
    <w:rsid w:val="000E266E"/>
    <w:rsid w:val="000E2B2F"/>
    <w:rsid w:val="000E6453"/>
    <w:rsid w:val="000E791F"/>
    <w:rsid w:val="000F26FF"/>
    <w:rsid w:val="000F444E"/>
    <w:rsid w:val="000F4DCE"/>
    <w:rsid w:val="001101A9"/>
    <w:rsid w:val="0011197B"/>
    <w:rsid w:val="00111B49"/>
    <w:rsid w:val="00112DB5"/>
    <w:rsid w:val="001145B3"/>
    <w:rsid w:val="001146A3"/>
    <w:rsid w:val="00123E38"/>
    <w:rsid w:val="0012508C"/>
    <w:rsid w:val="00125D53"/>
    <w:rsid w:val="00125ED8"/>
    <w:rsid w:val="00142D08"/>
    <w:rsid w:val="00144E1D"/>
    <w:rsid w:val="00152418"/>
    <w:rsid w:val="00175CBF"/>
    <w:rsid w:val="00176E3E"/>
    <w:rsid w:val="00183E18"/>
    <w:rsid w:val="0018539F"/>
    <w:rsid w:val="00187F62"/>
    <w:rsid w:val="00192ADD"/>
    <w:rsid w:val="00193C4E"/>
    <w:rsid w:val="001A6CF3"/>
    <w:rsid w:val="001C0765"/>
    <w:rsid w:val="001C0CE6"/>
    <w:rsid w:val="001C26FC"/>
    <w:rsid w:val="001C3BD9"/>
    <w:rsid w:val="001C6382"/>
    <w:rsid w:val="001D1BD2"/>
    <w:rsid w:val="001D60E3"/>
    <w:rsid w:val="001E0C56"/>
    <w:rsid w:val="001E1982"/>
    <w:rsid w:val="001E36BD"/>
    <w:rsid w:val="001E37EC"/>
    <w:rsid w:val="001E6A33"/>
    <w:rsid w:val="001F3010"/>
    <w:rsid w:val="001F7226"/>
    <w:rsid w:val="0020505F"/>
    <w:rsid w:val="002051E4"/>
    <w:rsid w:val="00216666"/>
    <w:rsid w:val="00220CFB"/>
    <w:rsid w:val="00231D13"/>
    <w:rsid w:val="002335D9"/>
    <w:rsid w:val="0023381C"/>
    <w:rsid w:val="00235011"/>
    <w:rsid w:val="00250735"/>
    <w:rsid w:val="002514CB"/>
    <w:rsid w:val="002515E6"/>
    <w:rsid w:val="00252EF4"/>
    <w:rsid w:val="0025428C"/>
    <w:rsid w:val="002555AC"/>
    <w:rsid w:val="00260286"/>
    <w:rsid w:val="002633DC"/>
    <w:rsid w:val="0026653E"/>
    <w:rsid w:val="00273BC9"/>
    <w:rsid w:val="00275BB1"/>
    <w:rsid w:val="00286907"/>
    <w:rsid w:val="00292CBE"/>
    <w:rsid w:val="0029368F"/>
    <w:rsid w:val="00294016"/>
    <w:rsid w:val="002A2FE8"/>
    <w:rsid w:val="002B23A4"/>
    <w:rsid w:val="002B71BE"/>
    <w:rsid w:val="002B743A"/>
    <w:rsid w:val="002C0986"/>
    <w:rsid w:val="002C7A17"/>
    <w:rsid w:val="002D310A"/>
    <w:rsid w:val="002E19D2"/>
    <w:rsid w:val="002E6F78"/>
    <w:rsid w:val="002F4D8D"/>
    <w:rsid w:val="002F5E8C"/>
    <w:rsid w:val="00300FC3"/>
    <w:rsid w:val="00301824"/>
    <w:rsid w:val="003129FA"/>
    <w:rsid w:val="00315D11"/>
    <w:rsid w:val="00316BCA"/>
    <w:rsid w:val="00316F3B"/>
    <w:rsid w:val="00321068"/>
    <w:rsid w:val="0032210C"/>
    <w:rsid w:val="003430F2"/>
    <w:rsid w:val="003454C5"/>
    <w:rsid w:val="003459AF"/>
    <w:rsid w:val="0034661F"/>
    <w:rsid w:val="003617E7"/>
    <w:rsid w:val="003632A3"/>
    <w:rsid w:val="00377DBE"/>
    <w:rsid w:val="0038246A"/>
    <w:rsid w:val="003833F5"/>
    <w:rsid w:val="00395B4F"/>
    <w:rsid w:val="003A4550"/>
    <w:rsid w:val="003A597C"/>
    <w:rsid w:val="003B375D"/>
    <w:rsid w:val="003B4AD3"/>
    <w:rsid w:val="003C0691"/>
    <w:rsid w:val="003C4831"/>
    <w:rsid w:val="003C7CA3"/>
    <w:rsid w:val="003E3E93"/>
    <w:rsid w:val="003E5089"/>
    <w:rsid w:val="003E7B2A"/>
    <w:rsid w:val="00404EC4"/>
    <w:rsid w:val="004110B4"/>
    <w:rsid w:val="00411BC5"/>
    <w:rsid w:val="00411DCA"/>
    <w:rsid w:val="00413BD5"/>
    <w:rsid w:val="00415EB2"/>
    <w:rsid w:val="004177B3"/>
    <w:rsid w:val="0042584B"/>
    <w:rsid w:val="0043339D"/>
    <w:rsid w:val="00437703"/>
    <w:rsid w:val="00441BA0"/>
    <w:rsid w:val="004433EC"/>
    <w:rsid w:val="00444E76"/>
    <w:rsid w:val="00450424"/>
    <w:rsid w:val="00456287"/>
    <w:rsid w:val="004663C4"/>
    <w:rsid w:val="00466D51"/>
    <w:rsid w:val="0046770A"/>
    <w:rsid w:val="00473C02"/>
    <w:rsid w:val="00481EF6"/>
    <w:rsid w:val="00482B73"/>
    <w:rsid w:val="00483C3C"/>
    <w:rsid w:val="0048550B"/>
    <w:rsid w:val="00487742"/>
    <w:rsid w:val="00494EB5"/>
    <w:rsid w:val="00495E11"/>
    <w:rsid w:val="004A1658"/>
    <w:rsid w:val="004A5B2E"/>
    <w:rsid w:val="004A5E07"/>
    <w:rsid w:val="004A5E0E"/>
    <w:rsid w:val="004B493B"/>
    <w:rsid w:val="004C0419"/>
    <w:rsid w:val="004C3CB1"/>
    <w:rsid w:val="004C52E5"/>
    <w:rsid w:val="004C7C08"/>
    <w:rsid w:val="004F698F"/>
    <w:rsid w:val="00500D61"/>
    <w:rsid w:val="00501E0B"/>
    <w:rsid w:val="00503F5C"/>
    <w:rsid w:val="0050622B"/>
    <w:rsid w:val="005070B9"/>
    <w:rsid w:val="00510434"/>
    <w:rsid w:val="00513C1F"/>
    <w:rsid w:val="00514BF5"/>
    <w:rsid w:val="00524D54"/>
    <w:rsid w:val="00527A84"/>
    <w:rsid w:val="00532716"/>
    <w:rsid w:val="00532FF7"/>
    <w:rsid w:val="00534F2F"/>
    <w:rsid w:val="00536289"/>
    <w:rsid w:val="00536F9C"/>
    <w:rsid w:val="00544837"/>
    <w:rsid w:val="005459AD"/>
    <w:rsid w:val="00554D10"/>
    <w:rsid w:val="005578BB"/>
    <w:rsid w:val="00562BF0"/>
    <w:rsid w:val="00592969"/>
    <w:rsid w:val="00594462"/>
    <w:rsid w:val="00595A63"/>
    <w:rsid w:val="005B049E"/>
    <w:rsid w:val="005B0C7C"/>
    <w:rsid w:val="005B12C6"/>
    <w:rsid w:val="005B6B22"/>
    <w:rsid w:val="005C32AF"/>
    <w:rsid w:val="005C4D7D"/>
    <w:rsid w:val="005C5D39"/>
    <w:rsid w:val="005D01CB"/>
    <w:rsid w:val="005D44AE"/>
    <w:rsid w:val="005D6B93"/>
    <w:rsid w:val="005D6DBE"/>
    <w:rsid w:val="005D6DEC"/>
    <w:rsid w:val="005E6B66"/>
    <w:rsid w:val="005F115F"/>
    <w:rsid w:val="005F1E88"/>
    <w:rsid w:val="005F21D3"/>
    <w:rsid w:val="005F43A1"/>
    <w:rsid w:val="0060303C"/>
    <w:rsid w:val="00610343"/>
    <w:rsid w:val="006106F0"/>
    <w:rsid w:val="00616E67"/>
    <w:rsid w:val="00631F4F"/>
    <w:rsid w:val="006349B1"/>
    <w:rsid w:val="00634A04"/>
    <w:rsid w:val="00635872"/>
    <w:rsid w:val="006370AA"/>
    <w:rsid w:val="0063743E"/>
    <w:rsid w:val="00644FFB"/>
    <w:rsid w:val="00651102"/>
    <w:rsid w:val="006512DC"/>
    <w:rsid w:val="006523F4"/>
    <w:rsid w:val="00652A3E"/>
    <w:rsid w:val="006657BA"/>
    <w:rsid w:val="00673911"/>
    <w:rsid w:val="006753AF"/>
    <w:rsid w:val="00686E41"/>
    <w:rsid w:val="00695F11"/>
    <w:rsid w:val="00697DA8"/>
    <w:rsid w:val="006A51EC"/>
    <w:rsid w:val="006A682A"/>
    <w:rsid w:val="006B3CE1"/>
    <w:rsid w:val="006B4318"/>
    <w:rsid w:val="006B5EB4"/>
    <w:rsid w:val="006C049F"/>
    <w:rsid w:val="006C6454"/>
    <w:rsid w:val="006C6D12"/>
    <w:rsid w:val="006D6B3B"/>
    <w:rsid w:val="006E72E4"/>
    <w:rsid w:val="006F04EB"/>
    <w:rsid w:val="006F7B2C"/>
    <w:rsid w:val="00703EB3"/>
    <w:rsid w:val="00704C57"/>
    <w:rsid w:val="007056B7"/>
    <w:rsid w:val="007065F4"/>
    <w:rsid w:val="00707DF8"/>
    <w:rsid w:val="00725C7E"/>
    <w:rsid w:val="007321E3"/>
    <w:rsid w:val="007327FD"/>
    <w:rsid w:val="00734142"/>
    <w:rsid w:val="00734BB7"/>
    <w:rsid w:val="00753A03"/>
    <w:rsid w:val="0075535A"/>
    <w:rsid w:val="00762848"/>
    <w:rsid w:val="00764262"/>
    <w:rsid w:val="00775CF2"/>
    <w:rsid w:val="007765D6"/>
    <w:rsid w:val="007834C1"/>
    <w:rsid w:val="0078472D"/>
    <w:rsid w:val="00790FAA"/>
    <w:rsid w:val="00797042"/>
    <w:rsid w:val="007A63EA"/>
    <w:rsid w:val="007B5179"/>
    <w:rsid w:val="007C2B66"/>
    <w:rsid w:val="007C3D7A"/>
    <w:rsid w:val="007C3E2C"/>
    <w:rsid w:val="007C3F7A"/>
    <w:rsid w:val="007D199E"/>
    <w:rsid w:val="007D1B93"/>
    <w:rsid w:val="007D78B2"/>
    <w:rsid w:val="007E33F6"/>
    <w:rsid w:val="007F139A"/>
    <w:rsid w:val="007F702E"/>
    <w:rsid w:val="0080600F"/>
    <w:rsid w:val="00806ED3"/>
    <w:rsid w:val="008175E1"/>
    <w:rsid w:val="00817F40"/>
    <w:rsid w:val="008362E8"/>
    <w:rsid w:val="00843920"/>
    <w:rsid w:val="0085493E"/>
    <w:rsid w:val="00854DEC"/>
    <w:rsid w:val="00860B54"/>
    <w:rsid w:val="0086241F"/>
    <w:rsid w:val="00862D63"/>
    <w:rsid w:val="00866A28"/>
    <w:rsid w:val="00871370"/>
    <w:rsid w:val="008915E2"/>
    <w:rsid w:val="00896779"/>
    <w:rsid w:val="00897B3D"/>
    <w:rsid w:val="00897F98"/>
    <w:rsid w:val="008A240F"/>
    <w:rsid w:val="008A4361"/>
    <w:rsid w:val="008A5469"/>
    <w:rsid w:val="008B1CD6"/>
    <w:rsid w:val="008C2B5B"/>
    <w:rsid w:val="008D0424"/>
    <w:rsid w:val="008E2B4B"/>
    <w:rsid w:val="008E6339"/>
    <w:rsid w:val="008F024E"/>
    <w:rsid w:val="008F2FB4"/>
    <w:rsid w:val="008F7FFB"/>
    <w:rsid w:val="00902FF0"/>
    <w:rsid w:val="00903994"/>
    <w:rsid w:val="00903AFF"/>
    <w:rsid w:val="00903FB0"/>
    <w:rsid w:val="00914CB5"/>
    <w:rsid w:val="00923863"/>
    <w:rsid w:val="00931709"/>
    <w:rsid w:val="0093480E"/>
    <w:rsid w:val="009368C6"/>
    <w:rsid w:val="00937590"/>
    <w:rsid w:val="00942206"/>
    <w:rsid w:val="009438E0"/>
    <w:rsid w:val="00945533"/>
    <w:rsid w:val="0094575E"/>
    <w:rsid w:val="009501CF"/>
    <w:rsid w:val="009567F2"/>
    <w:rsid w:val="00964CE2"/>
    <w:rsid w:val="00965DAC"/>
    <w:rsid w:val="009701D5"/>
    <w:rsid w:val="00972273"/>
    <w:rsid w:val="009733F7"/>
    <w:rsid w:val="009739D7"/>
    <w:rsid w:val="009852F1"/>
    <w:rsid w:val="00991395"/>
    <w:rsid w:val="009A5560"/>
    <w:rsid w:val="009A6728"/>
    <w:rsid w:val="009A6869"/>
    <w:rsid w:val="009B1F75"/>
    <w:rsid w:val="009B2BD4"/>
    <w:rsid w:val="009B4A20"/>
    <w:rsid w:val="009B6A66"/>
    <w:rsid w:val="009B6C46"/>
    <w:rsid w:val="009C2D7B"/>
    <w:rsid w:val="009C414E"/>
    <w:rsid w:val="009D0FDA"/>
    <w:rsid w:val="009D6E56"/>
    <w:rsid w:val="009E4CBF"/>
    <w:rsid w:val="009E6A7E"/>
    <w:rsid w:val="009F2522"/>
    <w:rsid w:val="009F7EA6"/>
    <w:rsid w:val="00A06FEF"/>
    <w:rsid w:val="00A10857"/>
    <w:rsid w:val="00A13B2C"/>
    <w:rsid w:val="00A27397"/>
    <w:rsid w:val="00A43671"/>
    <w:rsid w:val="00A447F2"/>
    <w:rsid w:val="00A544BA"/>
    <w:rsid w:val="00A54D4D"/>
    <w:rsid w:val="00A631EE"/>
    <w:rsid w:val="00A7715C"/>
    <w:rsid w:val="00A805D1"/>
    <w:rsid w:val="00A828E3"/>
    <w:rsid w:val="00A82A4B"/>
    <w:rsid w:val="00A9017D"/>
    <w:rsid w:val="00A91DDB"/>
    <w:rsid w:val="00A93A05"/>
    <w:rsid w:val="00AB07A3"/>
    <w:rsid w:val="00AC0B89"/>
    <w:rsid w:val="00AC5C08"/>
    <w:rsid w:val="00AC5DA0"/>
    <w:rsid w:val="00AC662B"/>
    <w:rsid w:val="00AC7F38"/>
    <w:rsid w:val="00AD42CC"/>
    <w:rsid w:val="00AE1D9C"/>
    <w:rsid w:val="00AE463A"/>
    <w:rsid w:val="00AF4713"/>
    <w:rsid w:val="00AF4872"/>
    <w:rsid w:val="00AF64A7"/>
    <w:rsid w:val="00AF7374"/>
    <w:rsid w:val="00AF7B93"/>
    <w:rsid w:val="00B02533"/>
    <w:rsid w:val="00B116A2"/>
    <w:rsid w:val="00B16933"/>
    <w:rsid w:val="00B23178"/>
    <w:rsid w:val="00B326DC"/>
    <w:rsid w:val="00B3426E"/>
    <w:rsid w:val="00B36069"/>
    <w:rsid w:val="00B36C92"/>
    <w:rsid w:val="00B4184F"/>
    <w:rsid w:val="00B42CB3"/>
    <w:rsid w:val="00B44FA0"/>
    <w:rsid w:val="00B516E4"/>
    <w:rsid w:val="00B575D9"/>
    <w:rsid w:val="00B617E1"/>
    <w:rsid w:val="00B62FFE"/>
    <w:rsid w:val="00B6422F"/>
    <w:rsid w:val="00B65462"/>
    <w:rsid w:val="00B66745"/>
    <w:rsid w:val="00B73D03"/>
    <w:rsid w:val="00B764F0"/>
    <w:rsid w:val="00B92397"/>
    <w:rsid w:val="00B928F5"/>
    <w:rsid w:val="00B93A51"/>
    <w:rsid w:val="00B96CF6"/>
    <w:rsid w:val="00BA7990"/>
    <w:rsid w:val="00BB160E"/>
    <w:rsid w:val="00BB63EA"/>
    <w:rsid w:val="00BC12FD"/>
    <w:rsid w:val="00BC3DAE"/>
    <w:rsid w:val="00BD5554"/>
    <w:rsid w:val="00BE0906"/>
    <w:rsid w:val="00BE3228"/>
    <w:rsid w:val="00BE50DC"/>
    <w:rsid w:val="00BF1694"/>
    <w:rsid w:val="00BF4F14"/>
    <w:rsid w:val="00BF730B"/>
    <w:rsid w:val="00C02A00"/>
    <w:rsid w:val="00C1633F"/>
    <w:rsid w:val="00C21E10"/>
    <w:rsid w:val="00C30005"/>
    <w:rsid w:val="00C340A8"/>
    <w:rsid w:val="00C400A2"/>
    <w:rsid w:val="00C44D82"/>
    <w:rsid w:val="00C51919"/>
    <w:rsid w:val="00C528D2"/>
    <w:rsid w:val="00C71390"/>
    <w:rsid w:val="00C71754"/>
    <w:rsid w:val="00C74715"/>
    <w:rsid w:val="00C77102"/>
    <w:rsid w:val="00C84A4C"/>
    <w:rsid w:val="00C93883"/>
    <w:rsid w:val="00CA0CF5"/>
    <w:rsid w:val="00CA1BEC"/>
    <w:rsid w:val="00CA61F3"/>
    <w:rsid w:val="00CB0D3E"/>
    <w:rsid w:val="00CB22ED"/>
    <w:rsid w:val="00CB2933"/>
    <w:rsid w:val="00CB777C"/>
    <w:rsid w:val="00CC187B"/>
    <w:rsid w:val="00CC24AF"/>
    <w:rsid w:val="00CE4926"/>
    <w:rsid w:val="00CE5C07"/>
    <w:rsid w:val="00CE7E0F"/>
    <w:rsid w:val="00CF1665"/>
    <w:rsid w:val="00D00A3C"/>
    <w:rsid w:val="00D01651"/>
    <w:rsid w:val="00D01661"/>
    <w:rsid w:val="00D01CB1"/>
    <w:rsid w:val="00D0237D"/>
    <w:rsid w:val="00D0338F"/>
    <w:rsid w:val="00D036BB"/>
    <w:rsid w:val="00D049CA"/>
    <w:rsid w:val="00D0532C"/>
    <w:rsid w:val="00D054BA"/>
    <w:rsid w:val="00D14AFE"/>
    <w:rsid w:val="00D23335"/>
    <w:rsid w:val="00D27792"/>
    <w:rsid w:val="00D3043A"/>
    <w:rsid w:val="00D34024"/>
    <w:rsid w:val="00D35F79"/>
    <w:rsid w:val="00D36B34"/>
    <w:rsid w:val="00D405DE"/>
    <w:rsid w:val="00D46C2A"/>
    <w:rsid w:val="00D51AD3"/>
    <w:rsid w:val="00D51C97"/>
    <w:rsid w:val="00D61E2C"/>
    <w:rsid w:val="00D62411"/>
    <w:rsid w:val="00D64E81"/>
    <w:rsid w:val="00D729EB"/>
    <w:rsid w:val="00D75B75"/>
    <w:rsid w:val="00D76AE6"/>
    <w:rsid w:val="00D85CF6"/>
    <w:rsid w:val="00D907CE"/>
    <w:rsid w:val="00D91596"/>
    <w:rsid w:val="00D93BD9"/>
    <w:rsid w:val="00D97EA6"/>
    <w:rsid w:val="00DA58A4"/>
    <w:rsid w:val="00DC1611"/>
    <w:rsid w:val="00DC3307"/>
    <w:rsid w:val="00DC3980"/>
    <w:rsid w:val="00DC623A"/>
    <w:rsid w:val="00DD0CA2"/>
    <w:rsid w:val="00DE1875"/>
    <w:rsid w:val="00DE28AB"/>
    <w:rsid w:val="00DE2C6D"/>
    <w:rsid w:val="00DE71EA"/>
    <w:rsid w:val="00DE7659"/>
    <w:rsid w:val="00DF6F87"/>
    <w:rsid w:val="00E014D0"/>
    <w:rsid w:val="00E04855"/>
    <w:rsid w:val="00E1480A"/>
    <w:rsid w:val="00E20863"/>
    <w:rsid w:val="00E272D1"/>
    <w:rsid w:val="00E27ECE"/>
    <w:rsid w:val="00E308AD"/>
    <w:rsid w:val="00E322C3"/>
    <w:rsid w:val="00E35EC8"/>
    <w:rsid w:val="00E60C94"/>
    <w:rsid w:val="00E61130"/>
    <w:rsid w:val="00E633DE"/>
    <w:rsid w:val="00E65A65"/>
    <w:rsid w:val="00E70562"/>
    <w:rsid w:val="00E74C67"/>
    <w:rsid w:val="00E805F6"/>
    <w:rsid w:val="00E8347B"/>
    <w:rsid w:val="00E8644C"/>
    <w:rsid w:val="00E93FC6"/>
    <w:rsid w:val="00E96C45"/>
    <w:rsid w:val="00EA14B2"/>
    <w:rsid w:val="00EA4A54"/>
    <w:rsid w:val="00EA5E13"/>
    <w:rsid w:val="00EB0847"/>
    <w:rsid w:val="00EB5784"/>
    <w:rsid w:val="00EC2ACB"/>
    <w:rsid w:val="00EC4A31"/>
    <w:rsid w:val="00ED532D"/>
    <w:rsid w:val="00ED5E3C"/>
    <w:rsid w:val="00ED66F3"/>
    <w:rsid w:val="00ED69EA"/>
    <w:rsid w:val="00ED6BBC"/>
    <w:rsid w:val="00EE1F1E"/>
    <w:rsid w:val="00EE4BC9"/>
    <w:rsid w:val="00EF345A"/>
    <w:rsid w:val="00F024AD"/>
    <w:rsid w:val="00F02C41"/>
    <w:rsid w:val="00F14016"/>
    <w:rsid w:val="00F15F45"/>
    <w:rsid w:val="00F15F5E"/>
    <w:rsid w:val="00F242FA"/>
    <w:rsid w:val="00F25B54"/>
    <w:rsid w:val="00F36447"/>
    <w:rsid w:val="00F477EB"/>
    <w:rsid w:val="00F56D28"/>
    <w:rsid w:val="00F61435"/>
    <w:rsid w:val="00F64D31"/>
    <w:rsid w:val="00F65C65"/>
    <w:rsid w:val="00F708FB"/>
    <w:rsid w:val="00F75AD6"/>
    <w:rsid w:val="00F90CFD"/>
    <w:rsid w:val="00F91DC9"/>
    <w:rsid w:val="00F94634"/>
    <w:rsid w:val="00F94F78"/>
    <w:rsid w:val="00F96E0F"/>
    <w:rsid w:val="00FA3D39"/>
    <w:rsid w:val="00FA4010"/>
    <w:rsid w:val="00FA50A8"/>
    <w:rsid w:val="00FB241D"/>
    <w:rsid w:val="00FC1296"/>
    <w:rsid w:val="00FC1E55"/>
    <w:rsid w:val="00FD7923"/>
    <w:rsid w:val="00FE41EE"/>
    <w:rsid w:val="00FE67F0"/>
    <w:rsid w:val="00FF0842"/>
    <w:rsid w:val="00FF1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3F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03F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106F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106F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A5E1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A5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3FB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03FB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106F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106F0"/>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3632A3"/>
    <w:rPr>
      <w:color w:val="0000FF" w:themeColor="hyperlink"/>
      <w:u w:val="single"/>
    </w:rPr>
  </w:style>
  <w:style w:type="paragraph" w:styleId="BalloonText">
    <w:name w:val="Balloon Text"/>
    <w:basedOn w:val="Normal"/>
    <w:link w:val="BalloonTextChar"/>
    <w:uiPriority w:val="99"/>
    <w:semiHidden/>
    <w:unhideWhenUsed/>
    <w:rsid w:val="00EC2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ACB"/>
    <w:rPr>
      <w:rFonts w:ascii="Tahoma" w:hAnsi="Tahoma" w:cs="Tahoma"/>
      <w:sz w:val="16"/>
      <w:szCs w:val="16"/>
    </w:rPr>
  </w:style>
  <w:style w:type="paragraph" w:styleId="Caption">
    <w:name w:val="caption"/>
    <w:basedOn w:val="Normal"/>
    <w:next w:val="Normal"/>
    <w:uiPriority w:val="35"/>
    <w:unhideWhenUsed/>
    <w:qFormat/>
    <w:rsid w:val="00EC2ACB"/>
    <w:pPr>
      <w:spacing w:line="240" w:lineRule="auto"/>
    </w:pPr>
    <w:rPr>
      <w:b/>
      <w:bCs/>
      <w:color w:val="4F81BD" w:themeColor="accent1"/>
      <w:sz w:val="18"/>
      <w:szCs w:val="18"/>
    </w:rPr>
  </w:style>
  <w:style w:type="character" w:styleId="Strong">
    <w:name w:val="Strong"/>
    <w:basedOn w:val="DefaultParagraphFont"/>
    <w:uiPriority w:val="22"/>
    <w:qFormat/>
    <w:rsid w:val="00EC2ACB"/>
    <w:rPr>
      <w:b/>
      <w:bCs/>
    </w:rPr>
  </w:style>
  <w:style w:type="paragraph" w:styleId="NoSpacing">
    <w:name w:val="No Spacing"/>
    <w:uiPriority w:val="1"/>
    <w:qFormat/>
    <w:rsid w:val="00EC2ACB"/>
    <w:pPr>
      <w:spacing w:after="0" w:line="240" w:lineRule="auto"/>
    </w:pPr>
  </w:style>
  <w:style w:type="paragraph" w:styleId="ListParagraph">
    <w:name w:val="List Paragraph"/>
    <w:basedOn w:val="Normal"/>
    <w:uiPriority w:val="34"/>
    <w:qFormat/>
    <w:rsid w:val="00E014D0"/>
    <w:pPr>
      <w:ind w:left="720"/>
      <w:contextualSpacing/>
    </w:pPr>
  </w:style>
  <w:style w:type="table" w:styleId="TableGrid">
    <w:name w:val="Table Grid"/>
    <w:basedOn w:val="TableNormal"/>
    <w:uiPriority w:val="59"/>
    <w:rsid w:val="00686E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686E4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686E4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
    <w:name w:val="Title"/>
    <w:basedOn w:val="Normal"/>
    <w:next w:val="Normal"/>
    <w:link w:val="TitleChar"/>
    <w:uiPriority w:val="10"/>
    <w:qFormat/>
    <w:rsid w:val="00AF737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F737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F737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F7374"/>
    <w:rPr>
      <w:rFonts w:asciiTheme="majorHAnsi" w:eastAsiaTheme="majorEastAsia" w:hAnsiTheme="majorHAnsi" w:cstheme="majorBidi"/>
      <w:i/>
      <w:iCs/>
      <w:color w:val="4F81BD" w:themeColor="accent1"/>
      <w:spacing w:val="15"/>
      <w:sz w:val="24"/>
      <w:szCs w:val="24"/>
    </w:rPr>
  </w:style>
  <w:style w:type="paragraph" w:customStyle="1" w:styleId="Pa15">
    <w:name w:val="Pa15"/>
    <w:basedOn w:val="Normal"/>
    <w:next w:val="Normal"/>
    <w:uiPriority w:val="99"/>
    <w:rsid w:val="009438E0"/>
    <w:pPr>
      <w:autoSpaceDE w:val="0"/>
      <w:autoSpaceDN w:val="0"/>
      <w:adjustRightInd w:val="0"/>
      <w:spacing w:after="0" w:line="241" w:lineRule="atLeast"/>
    </w:pPr>
    <w:rPr>
      <w:rFonts w:ascii="Arial" w:hAnsi="Arial" w:cs="Arial"/>
      <w:sz w:val="24"/>
      <w:szCs w:val="24"/>
    </w:rPr>
  </w:style>
  <w:style w:type="character" w:customStyle="1" w:styleId="A6">
    <w:name w:val="A6"/>
    <w:uiPriority w:val="99"/>
    <w:rsid w:val="009438E0"/>
    <w:rPr>
      <w:b/>
      <w:bCs/>
      <w:color w:val="000000"/>
      <w:sz w:val="20"/>
      <w:szCs w:val="20"/>
    </w:rPr>
  </w:style>
  <w:style w:type="paragraph" w:customStyle="1" w:styleId="Pa12">
    <w:name w:val="Pa12"/>
    <w:basedOn w:val="Normal"/>
    <w:next w:val="Normal"/>
    <w:uiPriority w:val="99"/>
    <w:rsid w:val="009438E0"/>
    <w:pPr>
      <w:autoSpaceDE w:val="0"/>
      <w:autoSpaceDN w:val="0"/>
      <w:adjustRightInd w:val="0"/>
      <w:spacing w:after="0" w:line="201" w:lineRule="atLeast"/>
    </w:pPr>
    <w:rPr>
      <w:rFonts w:ascii="Arial" w:hAnsi="Arial" w:cs="Arial"/>
      <w:sz w:val="24"/>
      <w:szCs w:val="24"/>
    </w:rPr>
  </w:style>
  <w:style w:type="character" w:customStyle="1" w:styleId="MTEquationSection">
    <w:name w:val="MTEquationSection"/>
    <w:basedOn w:val="DefaultParagraphFont"/>
    <w:rsid w:val="00E20863"/>
    <w:rPr>
      <w:vanish w:val="0"/>
      <w:color w:val="FF0000"/>
    </w:rPr>
  </w:style>
  <w:style w:type="paragraph" w:customStyle="1" w:styleId="MTDisplayEquation">
    <w:name w:val="MTDisplayEquation"/>
    <w:basedOn w:val="Normal"/>
    <w:next w:val="Normal"/>
    <w:link w:val="MTDisplayEquationChar"/>
    <w:rsid w:val="00E20863"/>
    <w:pPr>
      <w:tabs>
        <w:tab w:val="center" w:pos="4680"/>
        <w:tab w:val="right" w:pos="9360"/>
      </w:tabs>
    </w:pPr>
  </w:style>
  <w:style w:type="character" w:customStyle="1" w:styleId="MTDisplayEquationChar">
    <w:name w:val="MTDisplayEquation Char"/>
    <w:basedOn w:val="DefaultParagraphFont"/>
    <w:link w:val="MTDisplayEquation"/>
    <w:rsid w:val="00E20863"/>
  </w:style>
  <w:style w:type="table" w:styleId="LightShading-Accent4">
    <w:name w:val="Light Shading Accent 4"/>
    <w:basedOn w:val="TableNormal"/>
    <w:uiPriority w:val="60"/>
    <w:rsid w:val="007C2B6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Heading5Char">
    <w:name w:val="Heading 5 Char"/>
    <w:basedOn w:val="DefaultParagraphFont"/>
    <w:link w:val="Heading5"/>
    <w:uiPriority w:val="9"/>
    <w:rsid w:val="00EA5E1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EA5E13"/>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F02C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C41"/>
  </w:style>
  <w:style w:type="paragraph" w:styleId="Footer">
    <w:name w:val="footer"/>
    <w:basedOn w:val="Normal"/>
    <w:link w:val="FooterChar"/>
    <w:uiPriority w:val="99"/>
    <w:unhideWhenUsed/>
    <w:rsid w:val="00F02C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C41"/>
  </w:style>
  <w:style w:type="character" w:styleId="CommentReference">
    <w:name w:val="annotation reference"/>
    <w:basedOn w:val="DefaultParagraphFont"/>
    <w:uiPriority w:val="99"/>
    <w:semiHidden/>
    <w:unhideWhenUsed/>
    <w:rsid w:val="00B326DC"/>
    <w:rPr>
      <w:sz w:val="16"/>
      <w:szCs w:val="16"/>
    </w:rPr>
  </w:style>
  <w:style w:type="paragraph" w:styleId="CommentText">
    <w:name w:val="annotation text"/>
    <w:basedOn w:val="Normal"/>
    <w:link w:val="CommentTextChar"/>
    <w:uiPriority w:val="99"/>
    <w:semiHidden/>
    <w:unhideWhenUsed/>
    <w:rsid w:val="00B326DC"/>
    <w:pPr>
      <w:spacing w:line="240" w:lineRule="auto"/>
    </w:pPr>
    <w:rPr>
      <w:sz w:val="20"/>
      <w:szCs w:val="20"/>
    </w:rPr>
  </w:style>
  <w:style w:type="character" w:customStyle="1" w:styleId="CommentTextChar">
    <w:name w:val="Comment Text Char"/>
    <w:basedOn w:val="DefaultParagraphFont"/>
    <w:link w:val="CommentText"/>
    <w:uiPriority w:val="99"/>
    <w:semiHidden/>
    <w:rsid w:val="00B326DC"/>
    <w:rPr>
      <w:sz w:val="20"/>
      <w:szCs w:val="20"/>
    </w:rPr>
  </w:style>
  <w:style w:type="paragraph" w:styleId="CommentSubject">
    <w:name w:val="annotation subject"/>
    <w:basedOn w:val="CommentText"/>
    <w:next w:val="CommentText"/>
    <w:link w:val="CommentSubjectChar"/>
    <w:uiPriority w:val="99"/>
    <w:semiHidden/>
    <w:unhideWhenUsed/>
    <w:rsid w:val="00B326DC"/>
    <w:rPr>
      <w:b/>
      <w:bCs/>
    </w:rPr>
  </w:style>
  <w:style w:type="character" w:customStyle="1" w:styleId="CommentSubjectChar">
    <w:name w:val="Comment Subject Char"/>
    <w:basedOn w:val="CommentTextChar"/>
    <w:link w:val="CommentSubject"/>
    <w:uiPriority w:val="99"/>
    <w:semiHidden/>
    <w:rsid w:val="00B326DC"/>
    <w:rPr>
      <w:b/>
      <w:bCs/>
      <w:sz w:val="20"/>
      <w:szCs w:val="20"/>
    </w:rPr>
  </w:style>
  <w:style w:type="paragraph" w:styleId="FootnoteText">
    <w:name w:val="footnote text"/>
    <w:basedOn w:val="Normal"/>
    <w:link w:val="FootnoteTextChar"/>
    <w:uiPriority w:val="99"/>
    <w:semiHidden/>
    <w:unhideWhenUsed/>
    <w:rsid w:val="00292C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2CBE"/>
    <w:rPr>
      <w:sz w:val="20"/>
      <w:szCs w:val="20"/>
    </w:rPr>
  </w:style>
  <w:style w:type="character" w:styleId="FootnoteReference">
    <w:name w:val="footnote reference"/>
    <w:basedOn w:val="DefaultParagraphFont"/>
    <w:uiPriority w:val="99"/>
    <w:semiHidden/>
    <w:unhideWhenUsed/>
    <w:rsid w:val="00292CB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3F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03F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106F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106F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A5E1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A5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3FB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03FB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106F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106F0"/>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3632A3"/>
    <w:rPr>
      <w:color w:val="0000FF" w:themeColor="hyperlink"/>
      <w:u w:val="single"/>
    </w:rPr>
  </w:style>
  <w:style w:type="paragraph" w:styleId="BalloonText">
    <w:name w:val="Balloon Text"/>
    <w:basedOn w:val="Normal"/>
    <w:link w:val="BalloonTextChar"/>
    <w:uiPriority w:val="99"/>
    <w:semiHidden/>
    <w:unhideWhenUsed/>
    <w:rsid w:val="00EC2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ACB"/>
    <w:rPr>
      <w:rFonts w:ascii="Tahoma" w:hAnsi="Tahoma" w:cs="Tahoma"/>
      <w:sz w:val="16"/>
      <w:szCs w:val="16"/>
    </w:rPr>
  </w:style>
  <w:style w:type="paragraph" w:styleId="Caption">
    <w:name w:val="caption"/>
    <w:basedOn w:val="Normal"/>
    <w:next w:val="Normal"/>
    <w:uiPriority w:val="35"/>
    <w:unhideWhenUsed/>
    <w:qFormat/>
    <w:rsid w:val="00EC2ACB"/>
    <w:pPr>
      <w:spacing w:line="240" w:lineRule="auto"/>
    </w:pPr>
    <w:rPr>
      <w:b/>
      <w:bCs/>
      <w:color w:val="4F81BD" w:themeColor="accent1"/>
      <w:sz w:val="18"/>
      <w:szCs w:val="18"/>
    </w:rPr>
  </w:style>
  <w:style w:type="character" w:styleId="Strong">
    <w:name w:val="Strong"/>
    <w:basedOn w:val="DefaultParagraphFont"/>
    <w:uiPriority w:val="22"/>
    <w:qFormat/>
    <w:rsid w:val="00EC2ACB"/>
    <w:rPr>
      <w:b/>
      <w:bCs/>
    </w:rPr>
  </w:style>
  <w:style w:type="paragraph" w:styleId="NoSpacing">
    <w:name w:val="No Spacing"/>
    <w:uiPriority w:val="1"/>
    <w:qFormat/>
    <w:rsid w:val="00EC2ACB"/>
    <w:pPr>
      <w:spacing w:after="0" w:line="240" w:lineRule="auto"/>
    </w:pPr>
  </w:style>
  <w:style w:type="paragraph" w:styleId="ListParagraph">
    <w:name w:val="List Paragraph"/>
    <w:basedOn w:val="Normal"/>
    <w:uiPriority w:val="34"/>
    <w:qFormat/>
    <w:rsid w:val="00E014D0"/>
    <w:pPr>
      <w:ind w:left="720"/>
      <w:contextualSpacing/>
    </w:pPr>
  </w:style>
  <w:style w:type="table" w:styleId="TableGrid">
    <w:name w:val="Table Grid"/>
    <w:basedOn w:val="TableNormal"/>
    <w:uiPriority w:val="59"/>
    <w:rsid w:val="00686E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686E4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686E4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
    <w:name w:val="Title"/>
    <w:basedOn w:val="Normal"/>
    <w:next w:val="Normal"/>
    <w:link w:val="TitleChar"/>
    <w:uiPriority w:val="10"/>
    <w:qFormat/>
    <w:rsid w:val="00AF737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F737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F737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F7374"/>
    <w:rPr>
      <w:rFonts w:asciiTheme="majorHAnsi" w:eastAsiaTheme="majorEastAsia" w:hAnsiTheme="majorHAnsi" w:cstheme="majorBidi"/>
      <w:i/>
      <w:iCs/>
      <w:color w:val="4F81BD" w:themeColor="accent1"/>
      <w:spacing w:val="15"/>
      <w:sz w:val="24"/>
      <w:szCs w:val="24"/>
    </w:rPr>
  </w:style>
  <w:style w:type="paragraph" w:customStyle="1" w:styleId="Pa15">
    <w:name w:val="Pa15"/>
    <w:basedOn w:val="Normal"/>
    <w:next w:val="Normal"/>
    <w:uiPriority w:val="99"/>
    <w:rsid w:val="009438E0"/>
    <w:pPr>
      <w:autoSpaceDE w:val="0"/>
      <w:autoSpaceDN w:val="0"/>
      <w:adjustRightInd w:val="0"/>
      <w:spacing w:after="0" w:line="241" w:lineRule="atLeast"/>
    </w:pPr>
    <w:rPr>
      <w:rFonts w:ascii="Arial" w:hAnsi="Arial" w:cs="Arial"/>
      <w:sz w:val="24"/>
      <w:szCs w:val="24"/>
    </w:rPr>
  </w:style>
  <w:style w:type="character" w:customStyle="1" w:styleId="A6">
    <w:name w:val="A6"/>
    <w:uiPriority w:val="99"/>
    <w:rsid w:val="009438E0"/>
    <w:rPr>
      <w:b/>
      <w:bCs/>
      <w:color w:val="000000"/>
      <w:sz w:val="20"/>
      <w:szCs w:val="20"/>
    </w:rPr>
  </w:style>
  <w:style w:type="paragraph" w:customStyle="1" w:styleId="Pa12">
    <w:name w:val="Pa12"/>
    <w:basedOn w:val="Normal"/>
    <w:next w:val="Normal"/>
    <w:uiPriority w:val="99"/>
    <w:rsid w:val="009438E0"/>
    <w:pPr>
      <w:autoSpaceDE w:val="0"/>
      <w:autoSpaceDN w:val="0"/>
      <w:adjustRightInd w:val="0"/>
      <w:spacing w:after="0" w:line="201" w:lineRule="atLeast"/>
    </w:pPr>
    <w:rPr>
      <w:rFonts w:ascii="Arial" w:hAnsi="Arial" w:cs="Arial"/>
      <w:sz w:val="24"/>
      <w:szCs w:val="24"/>
    </w:rPr>
  </w:style>
  <w:style w:type="character" w:customStyle="1" w:styleId="MTEquationSection">
    <w:name w:val="MTEquationSection"/>
    <w:basedOn w:val="DefaultParagraphFont"/>
    <w:rsid w:val="00E20863"/>
    <w:rPr>
      <w:vanish w:val="0"/>
      <w:color w:val="FF0000"/>
    </w:rPr>
  </w:style>
  <w:style w:type="paragraph" w:customStyle="1" w:styleId="MTDisplayEquation">
    <w:name w:val="MTDisplayEquation"/>
    <w:basedOn w:val="Normal"/>
    <w:next w:val="Normal"/>
    <w:link w:val="MTDisplayEquationChar"/>
    <w:rsid w:val="00E20863"/>
    <w:pPr>
      <w:tabs>
        <w:tab w:val="center" w:pos="4680"/>
        <w:tab w:val="right" w:pos="9360"/>
      </w:tabs>
    </w:pPr>
  </w:style>
  <w:style w:type="character" w:customStyle="1" w:styleId="MTDisplayEquationChar">
    <w:name w:val="MTDisplayEquation Char"/>
    <w:basedOn w:val="DefaultParagraphFont"/>
    <w:link w:val="MTDisplayEquation"/>
    <w:rsid w:val="00E20863"/>
  </w:style>
  <w:style w:type="table" w:styleId="LightShading-Accent4">
    <w:name w:val="Light Shading Accent 4"/>
    <w:basedOn w:val="TableNormal"/>
    <w:uiPriority w:val="60"/>
    <w:rsid w:val="007C2B6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Heading5Char">
    <w:name w:val="Heading 5 Char"/>
    <w:basedOn w:val="DefaultParagraphFont"/>
    <w:link w:val="Heading5"/>
    <w:uiPriority w:val="9"/>
    <w:rsid w:val="00EA5E1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EA5E13"/>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F02C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C41"/>
  </w:style>
  <w:style w:type="paragraph" w:styleId="Footer">
    <w:name w:val="footer"/>
    <w:basedOn w:val="Normal"/>
    <w:link w:val="FooterChar"/>
    <w:uiPriority w:val="99"/>
    <w:unhideWhenUsed/>
    <w:rsid w:val="00F02C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C41"/>
  </w:style>
  <w:style w:type="character" w:styleId="CommentReference">
    <w:name w:val="annotation reference"/>
    <w:basedOn w:val="DefaultParagraphFont"/>
    <w:uiPriority w:val="99"/>
    <w:semiHidden/>
    <w:unhideWhenUsed/>
    <w:rsid w:val="00B326DC"/>
    <w:rPr>
      <w:sz w:val="16"/>
      <w:szCs w:val="16"/>
    </w:rPr>
  </w:style>
  <w:style w:type="paragraph" w:styleId="CommentText">
    <w:name w:val="annotation text"/>
    <w:basedOn w:val="Normal"/>
    <w:link w:val="CommentTextChar"/>
    <w:uiPriority w:val="99"/>
    <w:semiHidden/>
    <w:unhideWhenUsed/>
    <w:rsid w:val="00B326DC"/>
    <w:pPr>
      <w:spacing w:line="240" w:lineRule="auto"/>
    </w:pPr>
    <w:rPr>
      <w:sz w:val="20"/>
      <w:szCs w:val="20"/>
    </w:rPr>
  </w:style>
  <w:style w:type="character" w:customStyle="1" w:styleId="CommentTextChar">
    <w:name w:val="Comment Text Char"/>
    <w:basedOn w:val="DefaultParagraphFont"/>
    <w:link w:val="CommentText"/>
    <w:uiPriority w:val="99"/>
    <w:semiHidden/>
    <w:rsid w:val="00B326DC"/>
    <w:rPr>
      <w:sz w:val="20"/>
      <w:szCs w:val="20"/>
    </w:rPr>
  </w:style>
  <w:style w:type="paragraph" w:styleId="CommentSubject">
    <w:name w:val="annotation subject"/>
    <w:basedOn w:val="CommentText"/>
    <w:next w:val="CommentText"/>
    <w:link w:val="CommentSubjectChar"/>
    <w:uiPriority w:val="99"/>
    <w:semiHidden/>
    <w:unhideWhenUsed/>
    <w:rsid w:val="00B326DC"/>
    <w:rPr>
      <w:b/>
      <w:bCs/>
    </w:rPr>
  </w:style>
  <w:style w:type="character" w:customStyle="1" w:styleId="CommentSubjectChar">
    <w:name w:val="Comment Subject Char"/>
    <w:basedOn w:val="CommentTextChar"/>
    <w:link w:val="CommentSubject"/>
    <w:uiPriority w:val="99"/>
    <w:semiHidden/>
    <w:rsid w:val="00B326DC"/>
    <w:rPr>
      <w:b/>
      <w:bCs/>
      <w:sz w:val="20"/>
      <w:szCs w:val="20"/>
    </w:rPr>
  </w:style>
  <w:style w:type="paragraph" w:styleId="FootnoteText">
    <w:name w:val="footnote text"/>
    <w:basedOn w:val="Normal"/>
    <w:link w:val="FootnoteTextChar"/>
    <w:uiPriority w:val="99"/>
    <w:semiHidden/>
    <w:unhideWhenUsed/>
    <w:rsid w:val="00292C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2CBE"/>
    <w:rPr>
      <w:sz w:val="20"/>
      <w:szCs w:val="20"/>
    </w:rPr>
  </w:style>
  <w:style w:type="character" w:styleId="FootnoteReference">
    <w:name w:val="footnote reference"/>
    <w:basedOn w:val="DefaultParagraphFont"/>
    <w:uiPriority w:val="99"/>
    <w:semiHidden/>
    <w:unhideWhenUsed/>
    <w:rsid w:val="00292C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55598">
      <w:bodyDiv w:val="1"/>
      <w:marLeft w:val="0"/>
      <w:marRight w:val="0"/>
      <w:marTop w:val="0"/>
      <w:marBottom w:val="0"/>
      <w:divBdr>
        <w:top w:val="none" w:sz="0" w:space="0" w:color="auto"/>
        <w:left w:val="none" w:sz="0" w:space="0" w:color="auto"/>
        <w:bottom w:val="none" w:sz="0" w:space="0" w:color="auto"/>
        <w:right w:val="none" w:sz="0" w:space="0" w:color="auto"/>
      </w:divBdr>
    </w:div>
    <w:div w:id="462387936">
      <w:bodyDiv w:val="1"/>
      <w:marLeft w:val="0"/>
      <w:marRight w:val="0"/>
      <w:marTop w:val="0"/>
      <w:marBottom w:val="0"/>
      <w:divBdr>
        <w:top w:val="none" w:sz="0" w:space="0" w:color="auto"/>
        <w:left w:val="none" w:sz="0" w:space="0" w:color="auto"/>
        <w:bottom w:val="none" w:sz="0" w:space="0" w:color="auto"/>
        <w:right w:val="none" w:sz="0" w:space="0" w:color="auto"/>
      </w:divBdr>
    </w:div>
    <w:div w:id="1375622555">
      <w:bodyDiv w:val="1"/>
      <w:marLeft w:val="0"/>
      <w:marRight w:val="0"/>
      <w:marTop w:val="0"/>
      <w:marBottom w:val="0"/>
      <w:divBdr>
        <w:top w:val="none" w:sz="0" w:space="0" w:color="auto"/>
        <w:left w:val="none" w:sz="0" w:space="0" w:color="auto"/>
        <w:bottom w:val="none" w:sz="0" w:space="0" w:color="auto"/>
        <w:right w:val="none" w:sz="0" w:space="0" w:color="auto"/>
      </w:divBdr>
    </w:div>
    <w:div w:id="139561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ashx"/><Relationship Id="rId18" Type="http://schemas.openxmlformats.org/officeDocument/2006/relationships/image" Target="media/image11.emf"/><Relationship Id="rId26" Type="http://schemas.openxmlformats.org/officeDocument/2006/relationships/image" Target="media/image17.emf"/><Relationship Id="rId39" Type="http://schemas.openxmlformats.org/officeDocument/2006/relationships/image" Target="media/image24.wmf"/><Relationship Id="rId21" Type="http://schemas.openxmlformats.org/officeDocument/2006/relationships/image" Target="media/image14.jpeg"/><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oleObject" Target="embeddings/oleObject11.bin"/><Relationship Id="rId50" Type="http://schemas.openxmlformats.org/officeDocument/2006/relationships/image" Target="media/image29.wmf"/><Relationship Id="rId55" Type="http://schemas.openxmlformats.org/officeDocument/2006/relationships/oleObject" Target="embeddings/oleObject15.bin"/><Relationship Id="rId63" Type="http://schemas.openxmlformats.org/officeDocument/2006/relationships/image" Target="media/image36.jpg"/><Relationship Id="rId68" Type="http://schemas.openxmlformats.org/officeDocument/2006/relationships/image" Target="media/image41.png"/><Relationship Id="rId76" Type="http://schemas.openxmlformats.org/officeDocument/2006/relationships/hyperlink" Target="http://www.antelopeoiltool.com/products/series-200-stop-collars.html"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4.emf"/><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19.wmf"/><Relationship Id="rId11" Type="http://schemas.openxmlformats.org/officeDocument/2006/relationships/image" Target="media/image4.emf"/><Relationship Id="rId24" Type="http://schemas.microsoft.com/office/2007/relationships/hdphoto" Target="media/hdphoto2.wdp"/><Relationship Id="rId32" Type="http://schemas.openxmlformats.org/officeDocument/2006/relationships/oleObject" Target="embeddings/oleObject3.bin"/><Relationship Id="rId37" Type="http://schemas.openxmlformats.org/officeDocument/2006/relationships/image" Target="media/image23.wmf"/><Relationship Id="rId40" Type="http://schemas.openxmlformats.org/officeDocument/2006/relationships/oleObject" Target="embeddings/oleObject7.bin"/><Relationship Id="rId45" Type="http://schemas.openxmlformats.org/officeDocument/2006/relationships/image" Target="media/image27.wmf"/><Relationship Id="rId53" Type="http://schemas.openxmlformats.org/officeDocument/2006/relationships/oleObject" Target="embeddings/oleObject14.bin"/><Relationship Id="rId58" Type="http://schemas.openxmlformats.org/officeDocument/2006/relationships/image" Target="media/image33.wmf"/><Relationship Id="rId66" Type="http://schemas.openxmlformats.org/officeDocument/2006/relationships/image" Target="media/image39.png"/><Relationship Id="rId74" Type="http://schemas.openxmlformats.org/officeDocument/2006/relationships/hyperlink" Target="http://petroleumsupport.com/single-stage-cementing-operation/"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oleObject" Target="embeddings/oleObject18.bin"/><Relationship Id="rId82" Type="http://schemas.openxmlformats.org/officeDocument/2006/relationships/header" Target="header3.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microsoft.com/office/2007/relationships/hdphoto" Target="media/hdphoto1.wdp"/><Relationship Id="rId27" Type="http://schemas.openxmlformats.org/officeDocument/2006/relationships/image" Target="media/image18.wmf"/><Relationship Id="rId30" Type="http://schemas.openxmlformats.org/officeDocument/2006/relationships/oleObject" Target="embeddings/oleObject2.bin"/><Relationship Id="rId35" Type="http://schemas.openxmlformats.org/officeDocument/2006/relationships/image" Target="media/image22.wmf"/><Relationship Id="rId43" Type="http://schemas.openxmlformats.org/officeDocument/2006/relationships/image" Target="media/image26.wmf"/><Relationship Id="rId48" Type="http://schemas.openxmlformats.org/officeDocument/2006/relationships/image" Target="media/image28.wmf"/><Relationship Id="rId56" Type="http://schemas.openxmlformats.org/officeDocument/2006/relationships/image" Target="media/image32.wmf"/><Relationship Id="rId64" Type="http://schemas.openxmlformats.org/officeDocument/2006/relationships/image" Target="media/image37.png"/><Relationship Id="rId69" Type="http://schemas.openxmlformats.org/officeDocument/2006/relationships/image" Target="media/image42.jpg"/><Relationship Id="rId77" Type="http://schemas.openxmlformats.org/officeDocument/2006/relationships/hyperlink" Target="http://www.antelopeoiltool.com/products/series-500-hinged-welded-standard-bow-centralizers.html" TargetMode="External"/><Relationship Id="rId8" Type="http://schemas.openxmlformats.org/officeDocument/2006/relationships/image" Target="media/image1.emf"/><Relationship Id="rId51" Type="http://schemas.openxmlformats.org/officeDocument/2006/relationships/oleObject" Target="embeddings/oleObject13.bin"/><Relationship Id="rId72" Type="http://schemas.openxmlformats.org/officeDocument/2006/relationships/hyperlink" Target="http://en.wikipedia.org/wiki/Completion_%28oil_and_gas_wells%29" TargetMode="External"/><Relationship Id="rId80" Type="http://schemas.openxmlformats.org/officeDocument/2006/relationships/footer" Target="footer1.xm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ashx"/><Relationship Id="rId17" Type="http://schemas.openxmlformats.org/officeDocument/2006/relationships/image" Target="media/image10.emf"/><Relationship Id="rId25" Type="http://schemas.openxmlformats.org/officeDocument/2006/relationships/image" Target="media/image16.emf"/><Relationship Id="rId33" Type="http://schemas.openxmlformats.org/officeDocument/2006/relationships/image" Target="media/image21.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oleObject" Target="embeddings/oleObject17.bin"/><Relationship Id="rId67" Type="http://schemas.openxmlformats.org/officeDocument/2006/relationships/image" Target="media/image40.png"/><Relationship Id="rId20" Type="http://schemas.openxmlformats.org/officeDocument/2006/relationships/image" Target="media/image13.emf"/><Relationship Id="rId41" Type="http://schemas.openxmlformats.org/officeDocument/2006/relationships/image" Target="media/image25.wmf"/><Relationship Id="rId54" Type="http://schemas.openxmlformats.org/officeDocument/2006/relationships/image" Target="media/image31.wmf"/><Relationship Id="rId62" Type="http://schemas.openxmlformats.org/officeDocument/2006/relationships/image" Target="media/image35.jpg"/><Relationship Id="rId70" Type="http://schemas.openxmlformats.org/officeDocument/2006/relationships/image" Target="media/image43.emf"/><Relationship Id="rId75" Type="http://schemas.openxmlformats.org/officeDocument/2006/relationships/hyperlink" Target="http://www.antelopeoiltool.com/products/series-400-positive-rigid-welded-centralizers.html" TargetMode="External"/><Relationship Id="rId83"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oleObject" Target="embeddings/oleObject12.bin"/><Relationship Id="rId57" Type="http://schemas.openxmlformats.org/officeDocument/2006/relationships/oleObject" Target="embeddings/oleObject16.bin"/><Relationship Id="rId10" Type="http://schemas.openxmlformats.org/officeDocument/2006/relationships/image" Target="media/image3.emf"/><Relationship Id="rId31" Type="http://schemas.openxmlformats.org/officeDocument/2006/relationships/image" Target="media/image20.wmf"/><Relationship Id="rId44" Type="http://schemas.openxmlformats.org/officeDocument/2006/relationships/oleObject" Target="embeddings/oleObject9.bin"/><Relationship Id="rId52" Type="http://schemas.openxmlformats.org/officeDocument/2006/relationships/image" Target="media/image30.wmf"/><Relationship Id="rId60" Type="http://schemas.openxmlformats.org/officeDocument/2006/relationships/image" Target="media/image34.wmf"/><Relationship Id="rId65" Type="http://schemas.openxmlformats.org/officeDocument/2006/relationships/image" Target="media/image38.png"/><Relationship Id="rId73" Type="http://schemas.openxmlformats.org/officeDocument/2006/relationships/hyperlink" Target="http://www.glossary.oilfield.slb.com/en/Terms/c/cementing_plug.aspx" TargetMode="External"/><Relationship Id="rId78" Type="http://schemas.openxmlformats.org/officeDocument/2006/relationships/header" Target="header1.xml"/><Relationship Id="rId8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33</Pages>
  <Words>17797</Words>
  <Characters>101445</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Sandia National Laboratories</Company>
  <LinksUpToDate>false</LinksUpToDate>
  <CharactersWithSpaces>119004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jsu</dc:creator>
  <cp:lastModifiedBy>jsu</cp:lastModifiedBy>
  <cp:revision>4</cp:revision>
  <dcterms:created xsi:type="dcterms:W3CDTF">2014-04-17T23:00:00Z</dcterms:created>
  <dcterms:modified xsi:type="dcterms:W3CDTF">2014-04-17T23:11:00Z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UseMTPrefs">
    <vt:lpwstr>1</vt:lpwstr>
  </property>
  <property fmtid="{D5CDD505-2E9C-101B-9397-08002B2CF9AE}" pid="5" name="MTEquationNumber2">
    <vt:lpwstr>(#E1)</vt:lpwstr>
  </property>
</Properties>
</file>