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5A" w:rsidRPr="00CC1F67" w:rsidRDefault="001F695A" w:rsidP="001F6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Thermoelectric Materials Development Summary for GDR</w:t>
      </w:r>
    </w:p>
    <w:p w:rsidR="001F695A" w:rsidRDefault="001F695A" w:rsidP="001F695A">
      <w:pPr>
        <w:rPr>
          <w:b/>
        </w:rPr>
      </w:pPr>
    </w:p>
    <w:p w:rsidR="001F695A" w:rsidRPr="00504415" w:rsidRDefault="001F695A" w:rsidP="001F695A">
      <w:pPr>
        <w:rPr>
          <w:bCs/>
        </w:rPr>
      </w:pPr>
      <w:r>
        <w:rPr>
          <w:b/>
        </w:rPr>
        <w:t>Organization</w:t>
      </w:r>
      <w:r w:rsidRPr="0044220C">
        <w:rPr>
          <w:b/>
        </w:rPr>
        <w:t>:</w:t>
      </w:r>
      <w:r w:rsidRPr="0044220C">
        <w:rPr>
          <w:bCs/>
        </w:rPr>
        <w:t xml:space="preserve">  </w:t>
      </w:r>
      <w:r w:rsidRPr="00504415">
        <w:t>Southern Research Institute</w:t>
      </w:r>
    </w:p>
    <w:p w:rsidR="001F695A" w:rsidRPr="00504415" w:rsidRDefault="001F695A" w:rsidP="001F695A">
      <w:pPr>
        <w:rPr>
          <w:b/>
        </w:rPr>
      </w:pPr>
      <w:r w:rsidRPr="00504415">
        <w:rPr>
          <w:b/>
        </w:rPr>
        <w:t>Recipient Address:</w:t>
      </w:r>
      <w:r>
        <w:rPr>
          <w:b/>
        </w:rPr>
        <w:t xml:space="preserve">  </w:t>
      </w:r>
      <w:r w:rsidRPr="00504415">
        <w:t>2000 Ninth Avenue South</w:t>
      </w:r>
      <w:r>
        <w:t xml:space="preserve">, </w:t>
      </w:r>
      <w:r w:rsidRPr="00504415">
        <w:t>Birmingham, AL 35205-2708</w:t>
      </w:r>
    </w:p>
    <w:p w:rsidR="001F695A" w:rsidRDefault="001F695A" w:rsidP="001F695A">
      <w:pPr>
        <w:tabs>
          <w:tab w:val="left" w:pos="1890"/>
        </w:tabs>
        <w:ind w:left="1890" w:hanging="1890"/>
      </w:pPr>
      <w:r w:rsidRPr="00504415">
        <w:rPr>
          <w:b/>
        </w:rPr>
        <w:t>Award Number:</w:t>
      </w:r>
      <w:r>
        <w:rPr>
          <w:bCs/>
        </w:rPr>
        <w:tab/>
      </w:r>
      <w:r w:rsidRPr="00504415">
        <w:t>DE-EE0006746</w:t>
      </w:r>
    </w:p>
    <w:p w:rsidR="001F695A" w:rsidRDefault="001F695A" w:rsidP="001F695A">
      <w:pPr>
        <w:tabs>
          <w:tab w:val="left" w:pos="1890"/>
        </w:tabs>
        <w:ind w:left="1890" w:hanging="1890"/>
      </w:pPr>
      <w:r w:rsidRPr="00504415">
        <w:rPr>
          <w:b/>
        </w:rPr>
        <w:t>Project Title:</w:t>
      </w:r>
      <w:r w:rsidRPr="00504415">
        <w:t xml:space="preserve"> </w:t>
      </w:r>
      <w:r>
        <w:tab/>
      </w:r>
      <w:r w:rsidRPr="00504415">
        <w:t>Geothermal Thermoelectric Generation (G-TEG) with Integrated Temperature Driven Membrane Distillation and Novel Manganese Oxide for Lithium Extraction</w:t>
      </w:r>
    </w:p>
    <w:p w:rsidR="001F695A" w:rsidRDefault="001F695A" w:rsidP="0030293C">
      <w:pPr>
        <w:spacing w:after="120"/>
        <w:jc w:val="both"/>
      </w:pPr>
    </w:p>
    <w:p w:rsidR="0030293C" w:rsidRDefault="0030293C" w:rsidP="0030293C">
      <w:pPr>
        <w:spacing w:after="120"/>
        <w:jc w:val="both"/>
      </w:pPr>
      <w:r>
        <w:t xml:space="preserve">Improved thermoelectric materials can result in significant improvements in the performance and efficiency of thermoelectric generation (TEG) modules. Under this program, a goal of improving TE materials to allow for the development of a low cost, efficient TEG module was addressed through development of both p- and n-type TE materials. </w:t>
      </w:r>
    </w:p>
    <w:p w:rsidR="0030293C" w:rsidRDefault="0030293C" w:rsidP="0030293C">
      <w:pPr>
        <w:spacing w:after="120"/>
        <w:jc w:val="both"/>
      </w:pPr>
      <w:r w:rsidRPr="00E14A62">
        <w:t xml:space="preserve">The goal of producing 25 mm diameter </w:t>
      </w:r>
      <w:r>
        <w:t xml:space="preserve">TE material </w:t>
      </w:r>
      <w:r w:rsidRPr="00E14A62">
        <w:t>compacts by mechanical alloying and hot pressing was achieved,</w:t>
      </w:r>
      <w:r>
        <w:t xml:space="preserve"> </w:t>
      </w:r>
      <w:r>
        <w:rPr>
          <w:b/>
        </w:rPr>
        <w:t xml:space="preserve">Figure </w:t>
      </w:r>
      <w:r w:rsidR="001F695A">
        <w:rPr>
          <w:b/>
        </w:rPr>
        <w:t>1</w:t>
      </w:r>
      <w:r>
        <w:t>.</w:t>
      </w:r>
      <w:r w:rsidRPr="00E14A62">
        <w:t xml:space="preserve">  </w:t>
      </w:r>
      <w:r>
        <w:t>Even in their present thin form, t</w:t>
      </w:r>
      <w:r w:rsidRPr="00E14A62">
        <w:t>hese materials were found to possess sufficient strength to survive multiple impact events</w:t>
      </w:r>
      <w:r>
        <w:t xml:space="preserve"> and a tape test - forces</w:t>
      </w:r>
      <w:r w:rsidRPr="00E14A62">
        <w:t xml:space="preserve"> that would have fractured c</w:t>
      </w:r>
      <w:r>
        <w:t xml:space="preserve">onventional solidified alloys. </w:t>
      </w:r>
    </w:p>
    <w:tbl>
      <w:tblPr>
        <w:tblStyle w:val="TableGrid1"/>
        <w:tblW w:w="93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2"/>
        <w:gridCol w:w="5346"/>
      </w:tblGrid>
      <w:tr w:rsidR="0030293C" w:rsidTr="00E44F7D">
        <w:trPr>
          <w:jc w:val="center"/>
        </w:trPr>
        <w:tc>
          <w:tcPr>
            <w:tcW w:w="4686" w:type="dxa"/>
          </w:tcPr>
          <w:p w:rsidR="0030293C" w:rsidRDefault="0030293C" w:rsidP="00E44F7D">
            <w:pPr>
              <w:ind w:left="99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DED016" wp14:editId="19E1C0A0">
                  <wp:extent cx="2804160" cy="2103120"/>
                  <wp:effectExtent l="0" t="0" r="0" b="0"/>
                  <wp:docPr id="3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H-1-47_AfterZem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60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</w:tcPr>
          <w:p w:rsidR="0030293C" w:rsidRDefault="0030293C" w:rsidP="00E44F7D">
            <w:pPr>
              <w:ind w:left="99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A76B6F" wp14:editId="25D1225F">
                  <wp:extent cx="2628900" cy="2103120"/>
                  <wp:effectExtent l="0" t="0" r="0" b="0"/>
                  <wp:docPr id="33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H-1-13A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93C" w:rsidTr="00E44F7D">
        <w:trPr>
          <w:jc w:val="center"/>
        </w:trPr>
        <w:tc>
          <w:tcPr>
            <w:tcW w:w="4686" w:type="dxa"/>
          </w:tcPr>
          <w:p w:rsidR="0030293C" w:rsidRPr="00901FE3" w:rsidRDefault="0030293C" w:rsidP="001F695A">
            <w:pPr>
              <w:spacing w:before="60" w:after="60"/>
              <w:ind w:left="990"/>
              <w:rPr>
                <w:noProof/>
                <w:sz w:val="20"/>
              </w:rPr>
            </w:pPr>
            <w:r>
              <w:rPr>
                <w:b/>
              </w:rPr>
              <w:t>Figure</w:t>
            </w:r>
            <w:r w:rsidRPr="00E43268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E43268">
              <w:rPr>
                <w:b/>
              </w:rPr>
              <w:t>:</w:t>
            </w:r>
            <w:r w:rsidRPr="00E43268">
              <w:t xml:space="preserve"> </w:t>
            </w:r>
            <w:r w:rsidRPr="00901FE3">
              <w:rPr>
                <w:noProof/>
                <w:sz w:val="20"/>
              </w:rPr>
              <w:t xml:space="preserve">Lapped Compact </w:t>
            </w:r>
            <w:r w:rsidRPr="00901FE3">
              <w:rPr>
                <w:sz w:val="20"/>
              </w:rPr>
              <w:t xml:space="preserve">of p-type </w:t>
            </w:r>
            <w:proofErr w:type="spellStart"/>
            <w:r w:rsidRPr="00901FE3">
              <w:rPr>
                <w:sz w:val="20"/>
              </w:rPr>
              <w:t>BiSbTe</w:t>
            </w:r>
            <w:proofErr w:type="spellEnd"/>
            <w:r w:rsidRPr="00901FE3">
              <w:rPr>
                <w:sz w:val="20"/>
              </w:rPr>
              <w:t>: JH-1-</w:t>
            </w:r>
            <w:r>
              <w:rPr>
                <w:sz w:val="20"/>
              </w:rPr>
              <w:t>47</w:t>
            </w:r>
            <w:r w:rsidRPr="00901FE3">
              <w:rPr>
                <w:sz w:val="20"/>
              </w:rPr>
              <w:t>AB with ZEM-3 sample removed</w:t>
            </w:r>
          </w:p>
        </w:tc>
        <w:tc>
          <w:tcPr>
            <w:tcW w:w="4686" w:type="dxa"/>
          </w:tcPr>
          <w:p w:rsidR="0030293C" w:rsidRPr="00901FE3" w:rsidRDefault="0030293C" w:rsidP="001F695A">
            <w:pPr>
              <w:spacing w:before="60" w:after="60"/>
              <w:ind w:left="990"/>
              <w:rPr>
                <w:noProof/>
                <w:sz w:val="20"/>
              </w:rPr>
            </w:pPr>
            <w:r>
              <w:rPr>
                <w:b/>
              </w:rPr>
              <w:t>Figure</w:t>
            </w:r>
            <w:r w:rsidRPr="00E43268">
              <w:rPr>
                <w:b/>
              </w:rPr>
              <w:t xml:space="preserve"> </w:t>
            </w:r>
            <w:r w:rsidR="001F695A">
              <w:rPr>
                <w:b/>
              </w:rPr>
              <w:t>2</w:t>
            </w:r>
            <w:bookmarkStart w:id="0" w:name="_GoBack"/>
            <w:bookmarkEnd w:id="0"/>
            <w:r w:rsidRPr="00E43268">
              <w:rPr>
                <w:b/>
              </w:rPr>
              <w:t>:</w:t>
            </w:r>
            <w:r w:rsidRPr="00E43268">
              <w:t xml:space="preserve"> </w:t>
            </w:r>
            <w:r w:rsidRPr="00901FE3">
              <w:rPr>
                <w:sz w:val="20"/>
              </w:rPr>
              <w:t xml:space="preserve">ZEM-3 test of p-type </w:t>
            </w:r>
            <w:proofErr w:type="spellStart"/>
            <w:r w:rsidRPr="00901FE3">
              <w:rPr>
                <w:sz w:val="20"/>
              </w:rPr>
              <w:t>BiSbTe</w:t>
            </w:r>
            <w:proofErr w:type="spellEnd"/>
            <w:r w:rsidRPr="00901FE3">
              <w:rPr>
                <w:sz w:val="20"/>
              </w:rPr>
              <w:t>: JH-1-13AB</w:t>
            </w:r>
          </w:p>
        </w:tc>
      </w:tr>
    </w:tbl>
    <w:p w:rsidR="0030293C" w:rsidRDefault="0030293C" w:rsidP="0030293C">
      <w:pPr>
        <w:rPr>
          <w:bCs/>
        </w:rPr>
      </w:pPr>
    </w:p>
    <w:p w:rsidR="0030293C" w:rsidRDefault="0030293C" w:rsidP="0030293C">
      <w:pPr>
        <w:spacing w:before="240" w:after="240"/>
      </w:pPr>
      <w:r w:rsidRPr="00FA7F0B">
        <w:t>Rec</w:t>
      </w:r>
      <w:r>
        <w:t xml:space="preserve">tangular bars were cut from the hot pressed compacts for resistivity and </w:t>
      </w:r>
      <w:proofErr w:type="spellStart"/>
      <w:r>
        <w:t>Seebeck</w:t>
      </w:r>
      <w:proofErr w:type="spellEnd"/>
      <w:r>
        <w:t xml:space="preserve"> coeffic</w:t>
      </w:r>
      <w:r>
        <w:t>ient testing in an ULVAC ZEM-3</w:t>
      </w:r>
      <w:r>
        <w:t>.  Results from this analysis are summarized in along with a baseline (golden) sample made previously</w:t>
      </w:r>
      <w:r>
        <w:t xml:space="preserve"> (see separate Excel file uploads in GDR)</w:t>
      </w:r>
      <w:r>
        <w:t>.</w:t>
      </w:r>
    </w:p>
    <w:p w:rsidR="0030293C" w:rsidRDefault="0030293C" w:rsidP="0030293C">
      <w:pPr>
        <w:spacing w:before="120" w:after="120"/>
        <w:jc w:val="both"/>
      </w:pPr>
      <w:r>
        <w:t xml:space="preserve">The electrical resistivity for both the n-type and p-type samples is higher than expected, with the n-type samples being the highest.  For the p-type samples, it is believed that the presence of oxygen, incorporated as metal-oxides in the solid solution is responsible for the increased resistivity, especially for the first two runs JH-1-3AB and 13AB.  </w:t>
      </w:r>
      <w:r w:rsidRPr="00E14A62">
        <w:t xml:space="preserve">Second phase oxygen can have a significant impact on electrical resistivity by increasing the potential barriers at grain boundaries.  </w:t>
      </w:r>
      <w:r>
        <w:t xml:space="preserve">Oxygen is also a donor in Bi2Te3, having the effect of compensating the hole density in p-type alloys and increasing the carrier concentration in n-type materials, both of which will result in reduced </w:t>
      </w:r>
      <w:proofErr w:type="spellStart"/>
      <w:r>
        <w:t>Seebeck</w:t>
      </w:r>
      <w:proofErr w:type="spellEnd"/>
      <w:r>
        <w:t xml:space="preserve"> coefficient values.  Moreover,</w:t>
      </w:r>
      <w:r w:rsidRPr="00E14A62">
        <w:t xml:space="preserve"> the presence of oxygen raises the activation energy </w:t>
      </w:r>
      <w:r w:rsidRPr="00E14A62">
        <w:lastRenderedPageBreak/>
        <w:t>barrier for sintering, making it more difficult to achieve fully-dense compacts by hot pressing</w:t>
      </w:r>
      <w:r>
        <w:t xml:space="preserve"> and resulting in densities &lt;</w:t>
      </w:r>
      <w:r w:rsidRPr="00E14A62">
        <w:t xml:space="preserve"> 9</w:t>
      </w:r>
      <w:r>
        <w:t>5</w:t>
      </w:r>
      <w:r w:rsidRPr="00E14A62">
        <w:t xml:space="preserve">% </w:t>
      </w:r>
      <w:r>
        <w:t>of theoretical</w:t>
      </w:r>
      <w:r w:rsidRPr="00E14A62">
        <w:t xml:space="preserve">.   </w:t>
      </w:r>
    </w:p>
    <w:p w:rsidR="0030293C" w:rsidRDefault="0030293C" w:rsidP="0030293C">
      <w:r w:rsidRPr="003B292D">
        <w:t>We believe the lot</w:t>
      </w:r>
      <w:r>
        <w:t>s</w:t>
      </w:r>
      <w:r w:rsidRPr="003B292D">
        <w:t xml:space="preserve"> of antimony </w:t>
      </w:r>
      <w:r>
        <w:t xml:space="preserve">and bismuth powders </w:t>
      </w:r>
      <w:r w:rsidRPr="003B292D">
        <w:t xml:space="preserve">purchased for this project </w:t>
      </w:r>
      <w:r>
        <w:t>contained relatively high amounts of oxygen and</w:t>
      </w:r>
      <w:r w:rsidRPr="003B292D">
        <w:t xml:space="preserve"> </w:t>
      </w:r>
      <w:r>
        <w:t xml:space="preserve">are </w:t>
      </w:r>
      <w:r w:rsidRPr="003B292D">
        <w:t>responsible for the high resistivity</w:t>
      </w:r>
      <w:r>
        <w:t xml:space="preserve"> and lower than expected </w:t>
      </w:r>
      <w:proofErr w:type="spellStart"/>
      <w:r>
        <w:t>Seebeck</w:t>
      </w:r>
      <w:proofErr w:type="spellEnd"/>
      <w:r>
        <w:t xml:space="preserve"> coefficient values.  The materials chosen were of the highest purity available which was stated as 99.999%.  However, the stated purity of these materials is based on a “metals only” analysis and hence the presence of non-metals, such as oxygen, is neither assessed nor guaranteed.  Between the two precursors, the antimony source appears to be the primary source of oxygen as evidenced by</w:t>
      </w:r>
      <w:r w:rsidRPr="003B292D">
        <w:t xml:space="preserve"> the </w:t>
      </w:r>
      <w:r>
        <w:t>high resistivity of the first two p-type compositions.</w:t>
      </w:r>
      <w:r w:rsidRPr="003B292D">
        <w:t xml:space="preserve">  </w:t>
      </w:r>
      <w:r>
        <w:t xml:space="preserve">These </w:t>
      </w:r>
      <w:r w:rsidRPr="003B292D">
        <w:t>sample</w:t>
      </w:r>
      <w:r>
        <w:t>s</w:t>
      </w:r>
      <w:r w:rsidRPr="003B292D">
        <w:t xml:space="preserve"> also failed to densify beyond 9</w:t>
      </w:r>
      <w:r>
        <w:t>5</w:t>
      </w:r>
      <w:r w:rsidRPr="003B292D">
        <w:t>% of theoretical density, another manifestation of high oxygen contaminat</w:t>
      </w:r>
      <w:r>
        <w:t xml:space="preserve">ion in the commercial starting material.  </w:t>
      </w:r>
    </w:p>
    <w:p w:rsidR="001F695A" w:rsidRDefault="001F695A"/>
    <w:p w:rsidR="00B57D54" w:rsidRDefault="001F695A">
      <w:r>
        <w:t xml:space="preserve">After utilization of new precursor materials (non-powder from a separate vendor), improvements in material performance are observed. </w:t>
      </w:r>
      <w:r w:rsidR="0030293C">
        <w:t>Note that the p-type resistivity has improved dramatically with the use of new chunk source materials that doesn’t have the oxygen contamination problem that the raw Bi</w:t>
      </w:r>
      <w:r w:rsidR="0030293C" w:rsidRPr="00D559C4">
        <w:rPr>
          <w:vertAlign w:val="subscript"/>
        </w:rPr>
        <w:t>2</w:t>
      </w:r>
      <w:r w:rsidR="0030293C">
        <w:t>Te</w:t>
      </w:r>
      <w:r w:rsidR="0030293C" w:rsidRPr="00D559C4">
        <w:rPr>
          <w:vertAlign w:val="subscript"/>
        </w:rPr>
        <w:t>3</w:t>
      </w:r>
      <w:r w:rsidR="0030293C">
        <w:t xml:space="preserve"> powder does.  </w:t>
      </w:r>
    </w:p>
    <w:sectPr w:rsidR="00B57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3C"/>
    <w:rsid w:val="001F695A"/>
    <w:rsid w:val="0030293C"/>
    <w:rsid w:val="00B5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E8D2D-8E10-4B3F-95DD-0F2A620D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0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0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Research Institute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Tim</dc:creator>
  <cp:keywords/>
  <dc:description/>
  <cp:lastModifiedBy>Hansen, Tim</cp:lastModifiedBy>
  <cp:revision>1</cp:revision>
  <dcterms:created xsi:type="dcterms:W3CDTF">2016-02-09T15:58:00Z</dcterms:created>
  <dcterms:modified xsi:type="dcterms:W3CDTF">2016-02-09T16:17:00Z</dcterms:modified>
</cp:coreProperties>
</file>