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1FD96" w14:textId="6F4FECE8" w:rsidR="00206370" w:rsidRDefault="0080173D" w:rsidP="00311994">
      <w:pPr>
        <w:jc w:val="center"/>
        <w:rPr>
          <w:rFonts w:cs="Times New Roman"/>
          <w:b/>
          <w:sz w:val="32"/>
          <w:szCs w:val="32"/>
        </w:rPr>
      </w:pPr>
      <w:r>
        <w:rPr>
          <w:rFonts w:cs="Times New Roman"/>
          <w:b/>
          <w:sz w:val="32"/>
          <w:szCs w:val="32"/>
        </w:rPr>
        <w:t xml:space="preserve">Characterizing U.S. Heat Demand </w:t>
      </w:r>
    </w:p>
    <w:p w14:paraId="75E40247" w14:textId="47CF4DAC" w:rsidR="00E87631" w:rsidRDefault="0080173D" w:rsidP="00311994">
      <w:pPr>
        <w:jc w:val="center"/>
        <w:rPr>
          <w:rFonts w:cs="Times New Roman"/>
          <w:b/>
          <w:sz w:val="32"/>
          <w:szCs w:val="32"/>
        </w:rPr>
      </w:pPr>
      <w:r>
        <w:rPr>
          <w:rFonts w:cs="Times New Roman"/>
          <w:b/>
          <w:sz w:val="32"/>
          <w:szCs w:val="32"/>
        </w:rPr>
        <w:t xml:space="preserve">for </w:t>
      </w:r>
      <w:r w:rsidR="00206370">
        <w:rPr>
          <w:rFonts w:cs="Times New Roman"/>
          <w:b/>
          <w:sz w:val="32"/>
          <w:szCs w:val="32"/>
        </w:rPr>
        <w:t xml:space="preserve">Potential Application of </w:t>
      </w:r>
      <w:r>
        <w:rPr>
          <w:rFonts w:cs="Times New Roman"/>
          <w:b/>
          <w:sz w:val="32"/>
          <w:szCs w:val="32"/>
        </w:rPr>
        <w:t xml:space="preserve">Geothermal </w:t>
      </w:r>
      <w:r w:rsidR="00206370">
        <w:rPr>
          <w:rFonts w:cs="Times New Roman"/>
          <w:b/>
          <w:sz w:val="32"/>
          <w:szCs w:val="32"/>
        </w:rPr>
        <w:t>Direct Use</w:t>
      </w:r>
    </w:p>
    <w:p w14:paraId="56391DDD" w14:textId="77777777" w:rsidR="00F75435" w:rsidRPr="00311994" w:rsidRDefault="00F75435" w:rsidP="00311994">
      <w:pPr>
        <w:jc w:val="center"/>
        <w:rPr>
          <w:rFonts w:cs="Times New Roman"/>
          <w:b/>
          <w:sz w:val="32"/>
          <w:szCs w:val="32"/>
        </w:rPr>
      </w:pPr>
    </w:p>
    <w:p w14:paraId="47385587" w14:textId="3DFB275D" w:rsidR="00311994" w:rsidRDefault="00311994" w:rsidP="00F75435">
      <w:pPr>
        <w:jc w:val="center"/>
        <w:rPr>
          <w:rFonts w:cs="Times New Roman"/>
          <w:b/>
        </w:rPr>
      </w:pPr>
      <w:r w:rsidRPr="00311994">
        <w:rPr>
          <w:rFonts w:cs="Times New Roman"/>
          <w:b/>
        </w:rPr>
        <w:t>Kevin McCabe</w:t>
      </w:r>
      <w:r w:rsidR="00A8790C" w:rsidRPr="00311994">
        <w:rPr>
          <w:rFonts w:cs="Times New Roman"/>
          <w:b/>
        </w:rPr>
        <w:t>, Michael Gleason</w:t>
      </w:r>
      <w:r w:rsidRPr="00311994">
        <w:rPr>
          <w:rFonts w:cs="Times New Roman"/>
          <w:b/>
        </w:rPr>
        <w:t xml:space="preserve">, </w:t>
      </w:r>
      <w:r w:rsidR="00A8790C" w:rsidRPr="00311994">
        <w:rPr>
          <w:rFonts w:cs="Times New Roman"/>
          <w:b/>
        </w:rPr>
        <w:t>Tim Reber</w:t>
      </w:r>
      <w:r w:rsidR="00A8790C">
        <w:rPr>
          <w:rFonts w:cs="Times New Roman"/>
          <w:b/>
        </w:rPr>
        <w:t xml:space="preserve">, </w:t>
      </w:r>
      <w:r w:rsidRPr="00311994">
        <w:rPr>
          <w:rFonts w:cs="Times New Roman"/>
          <w:b/>
        </w:rPr>
        <w:t xml:space="preserve">Katherine </w:t>
      </w:r>
      <w:r w:rsidR="0038282D">
        <w:rPr>
          <w:rFonts w:cs="Times New Roman"/>
          <w:b/>
        </w:rPr>
        <w:t xml:space="preserve">R. </w:t>
      </w:r>
      <w:r w:rsidRPr="00311994">
        <w:rPr>
          <w:rFonts w:cs="Times New Roman"/>
          <w:b/>
        </w:rPr>
        <w:t>Young</w:t>
      </w:r>
    </w:p>
    <w:p w14:paraId="683B96ED" w14:textId="77777777" w:rsidR="00F75435" w:rsidRDefault="00F75435" w:rsidP="00F75435">
      <w:pPr>
        <w:jc w:val="center"/>
        <w:rPr>
          <w:rFonts w:cs="Times New Roman"/>
          <w:b/>
        </w:rPr>
      </w:pPr>
    </w:p>
    <w:p w14:paraId="6D17090C" w14:textId="15F80785" w:rsidR="00F75435" w:rsidRPr="00311994" w:rsidRDefault="00F75435" w:rsidP="00F75435">
      <w:pPr>
        <w:jc w:val="center"/>
        <w:rPr>
          <w:rFonts w:cs="Times New Roman"/>
          <w:b/>
        </w:rPr>
      </w:pPr>
      <w:r>
        <w:rPr>
          <w:rFonts w:cs="Times New Roman"/>
          <w:b/>
        </w:rPr>
        <w:t>National Renewable Energy Laboratory</w:t>
      </w:r>
    </w:p>
    <w:p w14:paraId="57360012" w14:textId="77777777" w:rsidR="00311994" w:rsidRDefault="00311994" w:rsidP="00311994">
      <w:pPr>
        <w:jc w:val="center"/>
        <w:rPr>
          <w:rFonts w:cs="Times New Roman"/>
        </w:rPr>
      </w:pPr>
    </w:p>
    <w:p w14:paraId="275A715A" w14:textId="3A97EDD5" w:rsidR="00021506" w:rsidRPr="00A15D31" w:rsidRDefault="00021506" w:rsidP="00311994">
      <w:pPr>
        <w:rPr>
          <w:rFonts w:cs="Times New Roman"/>
          <w:sz w:val="28"/>
          <w:szCs w:val="28"/>
        </w:rPr>
      </w:pPr>
      <w:r>
        <w:rPr>
          <w:rFonts w:cs="Times New Roman"/>
          <w:b/>
          <w:sz w:val="28"/>
          <w:szCs w:val="28"/>
        </w:rPr>
        <w:t xml:space="preserve">Keywords: </w:t>
      </w:r>
      <w:r w:rsidR="00AD1E97">
        <w:rPr>
          <w:rFonts w:cs="Times New Roman"/>
        </w:rPr>
        <w:t>direct u</w:t>
      </w:r>
      <w:r w:rsidRPr="003065C1">
        <w:rPr>
          <w:rFonts w:cs="Times New Roman"/>
        </w:rPr>
        <w:t>se</w:t>
      </w:r>
      <w:r w:rsidR="00AD1E97">
        <w:rPr>
          <w:rFonts w:cs="Times New Roman"/>
        </w:rPr>
        <w:t>, l</w:t>
      </w:r>
      <w:r w:rsidRPr="003065C1">
        <w:rPr>
          <w:rFonts w:cs="Times New Roman"/>
        </w:rPr>
        <w:t xml:space="preserve">ow-temperature, </w:t>
      </w:r>
      <w:r w:rsidR="005129D6" w:rsidRPr="003065C1">
        <w:rPr>
          <w:rFonts w:cs="Times New Roman"/>
        </w:rPr>
        <w:t xml:space="preserve">geothermal, </w:t>
      </w:r>
      <w:r w:rsidRPr="003065C1">
        <w:rPr>
          <w:rFonts w:cs="Times New Roman"/>
        </w:rPr>
        <w:t>heat demand</w:t>
      </w:r>
      <w:r w:rsidR="005129D6" w:rsidRPr="003065C1">
        <w:rPr>
          <w:rFonts w:cs="Times New Roman"/>
        </w:rPr>
        <w:t>, thermal demand, residential, commercial, manufacturing, agricultural, Geothermal Vision Study</w:t>
      </w:r>
    </w:p>
    <w:p w14:paraId="53BB4185" w14:textId="77777777" w:rsidR="00021506" w:rsidRDefault="00021506" w:rsidP="00311994">
      <w:pPr>
        <w:rPr>
          <w:rFonts w:cs="Times New Roman"/>
          <w:b/>
          <w:sz w:val="28"/>
          <w:szCs w:val="28"/>
        </w:rPr>
      </w:pPr>
    </w:p>
    <w:p w14:paraId="4DAD9F2F" w14:textId="77777777" w:rsidR="00311994" w:rsidRDefault="00311994" w:rsidP="00311994">
      <w:pPr>
        <w:rPr>
          <w:rFonts w:cs="Times New Roman"/>
          <w:b/>
          <w:sz w:val="28"/>
          <w:szCs w:val="28"/>
        </w:rPr>
      </w:pPr>
      <w:r>
        <w:rPr>
          <w:rFonts w:cs="Times New Roman"/>
          <w:b/>
          <w:sz w:val="28"/>
          <w:szCs w:val="28"/>
        </w:rPr>
        <w:t>Abstract</w:t>
      </w:r>
    </w:p>
    <w:p w14:paraId="0C046F38" w14:textId="669E5DBF" w:rsidR="00C12BB0" w:rsidRPr="00C12BB0" w:rsidRDefault="00A46A39" w:rsidP="00427C94">
      <w:pPr>
        <w:rPr>
          <w:rFonts w:cs="Times New Roman"/>
        </w:rPr>
      </w:pPr>
      <w:r>
        <w:rPr>
          <w:rFonts w:cs="Times New Roman"/>
        </w:rPr>
        <w:t xml:space="preserve">In this paper, we </w:t>
      </w:r>
      <w:r w:rsidR="00450A1D">
        <w:rPr>
          <w:rFonts w:cs="Times New Roman"/>
        </w:rPr>
        <w:t xml:space="preserve">assess the U.S. demand for low-temperature thermal energy at the county resolution for </w:t>
      </w:r>
      <w:r w:rsidR="00995BF9">
        <w:rPr>
          <w:rFonts w:cs="Times New Roman"/>
        </w:rPr>
        <w:t>four</w:t>
      </w:r>
      <w:r w:rsidR="00450A1D">
        <w:rPr>
          <w:rFonts w:cs="Times New Roman"/>
        </w:rPr>
        <w:t xml:space="preserve"> major </w:t>
      </w:r>
      <w:r w:rsidR="0062092D">
        <w:rPr>
          <w:rFonts w:cs="Times New Roman"/>
        </w:rPr>
        <w:t xml:space="preserve">end-use </w:t>
      </w:r>
      <w:r w:rsidR="00450A1D">
        <w:rPr>
          <w:rFonts w:cs="Times New Roman"/>
        </w:rPr>
        <w:t xml:space="preserve">sectors: </w:t>
      </w:r>
      <w:r>
        <w:rPr>
          <w:rFonts w:cs="Times New Roman"/>
        </w:rPr>
        <w:t>residential</w:t>
      </w:r>
      <w:r w:rsidR="00450A1D">
        <w:rPr>
          <w:rFonts w:cs="Times New Roman"/>
        </w:rPr>
        <w:t xml:space="preserve"> buildings</w:t>
      </w:r>
      <w:r>
        <w:rPr>
          <w:rFonts w:cs="Times New Roman"/>
        </w:rPr>
        <w:t>, commercial</w:t>
      </w:r>
      <w:r w:rsidR="00450A1D">
        <w:rPr>
          <w:rFonts w:cs="Times New Roman"/>
        </w:rPr>
        <w:t xml:space="preserve"> buildings</w:t>
      </w:r>
      <w:r>
        <w:rPr>
          <w:rFonts w:cs="Times New Roman"/>
        </w:rPr>
        <w:t>,</w:t>
      </w:r>
      <w:r w:rsidR="006F1568">
        <w:rPr>
          <w:rFonts w:cs="Times New Roman"/>
        </w:rPr>
        <w:t xml:space="preserve"> </w:t>
      </w:r>
      <w:r w:rsidR="00995BF9">
        <w:rPr>
          <w:rFonts w:cs="Times New Roman"/>
        </w:rPr>
        <w:t xml:space="preserve">manufacturing </w:t>
      </w:r>
      <w:r w:rsidR="00450A1D">
        <w:rPr>
          <w:rFonts w:cs="Times New Roman"/>
        </w:rPr>
        <w:t>facilities</w:t>
      </w:r>
      <w:r w:rsidR="00995BF9">
        <w:rPr>
          <w:rFonts w:cs="Times New Roman"/>
        </w:rPr>
        <w:t>, and agricultural facilities</w:t>
      </w:r>
      <w:r w:rsidR="002E750D">
        <w:rPr>
          <w:rFonts w:cs="Times New Roman"/>
        </w:rPr>
        <w:t xml:space="preserve">. </w:t>
      </w:r>
      <w:r w:rsidR="004E48B8">
        <w:rPr>
          <w:rFonts w:cs="Times New Roman"/>
        </w:rPr>
        <w:t>Existing publicly available data on the U.S. thermal demand market are characterized by coarse spatial resolution, with assessments typically at the state</w:t>
      </w:r>
      <w:r w:rsidR="00417523">
        <w:rPr>
          <w:rFonts w:cs="Times New Roman"/>
        </w:rPr>
        <w:t xml:space="preserve"> </w:t>
      </w:r>
      <w:r w:rsidR="004E48B8">
        <w:rPr>
          <w:rFonts w:cs="Times New Roman"/>
        </w:rPr>
        <w:t>level or larger. For many uses, these data are sufficient; however, our research was motivated by an interest in assessing the potential demand for direct use (DU) of low-temperature (30° to 150°C) geothermal heat. The availability and quality of geothermal resources for DU applications are highly spatially heterogeneous; therefore, to assess the potential market for these resources, it is necessary to understand the spatial variation in demand for low-temperature resources at a local resolution. This paper presents the datasets and met</w:t>
      </w:r>
      <w:r w:rsidR="007E0FD0">
        <w:rPr>
          <w:rFonts w:cs="Times New Roman"/>
        </w:rPr>
        <w:t>hods we used to develop county-level</w:t>
      </w:r>
      <w:r w:rsidR="004E48B8">
        <w:rPr>
          <w:rFonts w:cs="Times New Roman"/>
        </w:rPr>
        <w:t xml:space="preserve"> estimates of the thermal demand for the residential, commercial,</w:t>
      </w:r>
      <w:r w:rsidR="003E58E2">
        <w:rPr>
          <w:rFonts w:cs="Times New Roman"/>
        </w:rPr>
        <w:t xml:space="preserve"> manufacturing, and agricultural </w:t>
      </w:r>
      <w:r w:rsidR="004E48B8">
        <w:rPr>
          <w:rFonts w:cs="Times New Roman"/>
        </w:rPr>
        <w:t>sectors.</w:t>
      </w:r>
      <w:r w:rsidR="004E48B8" w:rsidRPr="004E48B8">
        <w:rPr>
          <w:rFonts w:cs="Times New Roman"/>
        </w:rPr>
        <w:t xml:space="preserve"> </w:t>
      </w:r>
      <w:r w:rsidR="00C12BB0" w:rsidRPr="00C12BB0">
        <w:rPr>
          <w:rFonts w:cs="Times New Roman"/>
        </w:rPr>
        <w:t xml:space="preserve">Although this analysis </w:t>
      </w:r>
      <w:r w:rsidR="00FD20DD">
        <w:rPr>
          <w:rFonts w:cs="Times New Roman"/>
        </w:rPr>
        <w:t>was motivated by</w:t>
      </w:r>
      <w:r w:rsidR="00C12BB0" w:rsidRPr="00C12BB0">
        <w:rPr>
          <w:rFonts w:cs="Times New Roman"/>
        </w:rPr>
        <w:t xml:space="preserve"> </w:t>
      </w:r>
      <w:r w:rsidR="007E0FD0">
        <w:rPr>
          <w:rFonts w:cs="Times New Roman"/>
        </w:rPr>
        <w:t xml:space="preserve">an </w:t>
      </w:r>
      <w:r w:rsidR="00FD20DD">
        <w:rPr>
          <w:rFonts w:cs="Times New Roman"/>
        </w:rPr>
        <w:t>interest in</w:t>
      </w:r>
      <w:r w:rsidR="002A2151">
        <w:rPr>
          <w:rFonts w:cs="Times New Roman"/>
        </w:rPr>
        <w:t xml:space="preserve"> </w:t>
      </w:r>
      <w:r w:rsidR="00C12BB0" w:rsidRPr="00C12BB0">
        <w:rPr>
          <w:rFonts w:cs="Times New Roman"/>
        </w:rPr>
        <w:t xml:space="preserve">geothermal energy deployment, the results </w:t>
      </w:r>
      <w:r w:rsidR="00FD20DD">
        <w:rPr>
          <w:rFonts w:cs="Times New Roman"/>
        </w:rPr>
        <w:t xml:space="preserve">are likely to </w:t>
      </w:r>
      <w:r w:rsidR="00C12BB0" w:rsidRPr="00C12BB0">
        <w:rPr>
          <w:rFonts w:cs="Times New Roman"/>
        </w:rPr>
        <w:t>ha</w:t>
      </w:r>
      <w:r w:rsidR="002A2151">
        <w:rPr>
          <w:rFonts w:cs="Times New Roman"/>
        </w:rPr>
        <w:t>ve</w:t>
      </w:r>
      <w:r w:rsidR="00C12BB0" w:rsidRPr="00C12BB0">
        <w:rPr>
          <w:rFonts w:cs="Times New Roman"/>
        </w:rPr>
        <w:t xml:space="preserve"> </w:t>
      </w:r>
      <w:r w:rsidR="00FD20DD">
        <w:rPr>
          <w:rFonts w:cs="Times New Roman"/>
        </w:rPr>
        <w:t>broader</w:t>
      </w:r>
      <w:r w:rsidR="00C12BB0" w:rsidRPr="00C12BB0">
        <w:rPr>
          <w:rFonts w:cs="Times New Roman"/>
        </w:rPr>
        <w:t xml:space="preserve"> </w:t>
      </w:r>
      <w:r w:rsidR="00FD20DD">
        <w:rPr>
          <w:rFonts w:cs="Times New Roman"/>
        </w:rPr>
        <w:t>applications</w:t>
      </w:r>
      <w:r w:rsidR="00FD20DD" w:rsidRPr="00C12BB0">
        <w:rPr>
          <w:rFonts w:cs="Times New Roman"/>
        </w:rPr>
        <w:t xml:space="preserve"> </w:t>
      </w:r>
      <w:r w:rsidR="00C12BB0" w:rsidRPr="00C12BB0">
        <w:rPr>
          <w:rFonts w:cs="Times New Roman"/>
        </w:rPr>
        <w:t xml:space="preserve">throughout the energy industry. </w:t>
      </w:r>
      <w:r w:rsidR="00FD20DD">
        <w:rPr>
          <w:rFonts w:cs="Times New Roman"/>
        </w:rPr>
        <w:t>The county-</w:t>
      </w:r>
      <w:r w:rsidR="0070285F">
        <w:rPr>
          <w:rFonts w:cs="Times New Roman"/>
        </w:rPr>
        <w:t xml:space="preserve">level </w:t>
      </w:r>
      <w:r w:rsidR="00C12BB0" w:rsidRPr="00C12BB0">
        <w:rPr>
          <w:rFonts w:cs="Times New Roman"/>
        </w:rPr>
        <w:t xml:space="preserve">resolution thermal demand data </w:t>
      </w:r>
      <w:r w:rsidR="00FD20DD">
        <w:rPr>
          <w:rFonts w:cs="Times New Roman"/>
        </w:rPr>
        <w:t xml:space="preserve">developed in this study </w:t>
      </w:r>
      <w:r w:rsidR="0084064A">
        <w:rPr>
          <w:rFonts w:cs="Times New Roman"/>
        </w:rPr>
        <w:t xml:space="preserve">may </w:t>
      </w:r>
      <w:r w:rsidR="006E08DD">
        <w:rPr>
          <w:rFonts w:cs="Times New Roman"/>
        </w:rPr>
        <w:t>ha</w:t>
      </w:r>
      <w:r w:rsidR="0084064A">
        <w:rPr>
          <w:rFonts w:cs="Times New Roman"/>
        </w:rPr>
        <w:t>ve</w:t>
      </w:r>
      <w:r w:rsidR="006E08DD">
        <w:rPr>
          <w:rFonts w:cs="Times New Roman"/>
        </w:rPr>
        <w:t xml:space="preserve"> far-reaching implications for building technologies, industrial processes, and various distributed renewable energy thermal resources (</w:t>
      </w:r>
      <w:r w:rsidR="00417523">
        <w:rPr>
          <w:rFonts w:cs="Times New Roman"/>
        </w:rPr>
        <w:t xml:space="preserve">e.g., </w:t>
      </w:r>
      <w:r w:rsidR="006E08DD">
        <w:rPr>
          <w:rFonts w:cs="Times New Roman"/>
        </w:rPr>
        <w:t xml:space="preserve">biomass, solar). </w:t>
      </w:r>
    </w:p>
    <w:p w14:paraId="37055CED" w14:textId="77777777" w:rsidR="00C12BB0" w:rsidRDefault="00C12BB0" w:rsidP="00637CD1">
      <w:pPr>
        <w:rPr>
          <w:rFonts w:cs="Times New Roman"/>
        </w:rPr>
      </w:pPr>
    </w:p>
    <w:p w14:paraId="72B78AAC" w14:textId="4333F2F6" w:rsidR="00427C94" w:rsidRDefault="00427C94" w:rsidP="00637CD1">
      <w:pPr>
        <w:rPr>
          <w:rFonts w:cs="Times New Roman"/>
          <w:b/>
          <w:sz w:val="28"/>
          <w:szCs w:val="28"/>
        </w:rPr>
      </w:pPr>
      <w:r>
        <w:rPr>
          <w:rFonts w:cs="Times New Roman"/>
          <w:b/>
          <w:sz w:val="28"/>
          <w:szCs w:val="28"/>
        </w:rPr>
        <w:t>Introduction</w:t>
      </w:r>
    </w:p>
    <w:p w14:paraId="7B423E2A" w14:textId="3FE555A0" w:rsidR="00427C94" w:rsidRDefault="00AD68C1">
      <w:pPr>
        <w:rPr>
          <w:rFonts w:cs="Times New Roman"/>
        </w:rPr>
      </w:pPr>
      <w:r w:rsidRPr="00AD68C1">
        <w:rPr>
          <w:rFonts w:cs="Times New Roman"/>
        </w:rPr>
        <w:t>In 2015, the Geothermal Technologies Office (GTO) at the U.S. De</w:t>
      </w:r>
      <w:r>
        <w:rPr>
          <w:rFonts w:cs="Times New Roman"/>
        </w:rPr>
        <w:t>partment of Energy (DOE) began the Geothermal Vision S</w:t>
      </w:r>
      <w:r w:rsidRPr="00AD68C1">
        <w:rPr>
          <w:rFonts w:cs="Times New Roman"/>
        </w:rPr>
        <w:t>tudy (</w:t>
      </w:r>
      <w:r>
        <w:rPr>
          <w:rFonts w:cs="Times New Roman"/>
        </w:rPr>
        <w:t>GVS</w:t>
      </w:r>
      <w:r w:rsidRPr="00AD68C1">
        <w:rPr>
          <w:rFonts w:cs="Times New Roman"/>
        </w:rPr>
        <w:t>) to conduct analysis of potential growth scenarios across multiple market sectors (geothermal electric generation, commercial and residential thermal applications) for 2020, 2030, and 2050. T</w:t>
      </w:r>
      <w:r>
        <w:rPr>
          <w:rFonts w:cs="Times New Roman"/>
        </w:rPr>
        <w:t xml:space="preserve">he first phase of the GVS </w:t>
      </w:r>
      <w:r w:rsidRPr="00AD68C1">
        <w:rPr>
          <w:rFonts w:cs="Times New Roman"/>
        </w:rPr>
        <w:t xml:space="preserve">focuses on the electricity sector and is divided into specific topic areas and task forces led by GTO team members. </w:t>
      </w:r>
      <w:r w:rsidR="00B67D60">
        <w:rPr>
          <w:rFonts w:cs="Times New Roman"/>
        </w:rPr>
        <w:t>The Thermal Applications Taskforce is divided into two parts: geothermal heat pumps, led by Oak Ridge National Lab</w:t>
      </w:r>
      <w:r w:rsidR="009D64EA">
        <w:rPr>
          <w:rFonts w:cs="Times New Roman"/>
        </w:rPr>
        <w:t>oratory</w:t>
      </w:r>
      <w:r w:rsidR="00B67D60">
        <w:rPr>
          <w:rFonts w:cs="Times New Roman"/>
        </w:rPr>
        <w:t xml:space="preserve">, and geothermal direct use </w:t>
      </w:r>
      <w:r w:rsidR="00F84BC9">
        <w:rPr>
          <w:rFonts w:cs="Times New Roman"/>
        </w:rPr>
        <w:t xml:space="preserve">(DU) </w:t>
      </w:r>
      <w:r w:rsidR="00B67D60">
        <w:rPr>
          <w:rFonts w:cs="Times New Roman"/>
        </w:rPr>
        <w:t>(</w:t>
      </w:r>
      <w:r w:rsidR="00B67D60" w:rsidRPr="00234FAD">
        <w:rPr>
          <w:rFonts w:cs="Times New Roman"/>
        </w:rPr>
        <w:t>a.k.a.</w:t>
      </w:r>
      <w:r w:rsidR="00B67D60">
        <w:rPr>
          <w:rFonts w:cs="Times New Roman"/>
        </w:rPr>
        <w:t xml:space="preserve"> “deep direct use”), le</w:t>
      </w:r>
      <w:r w:rsidR="00427C94" w:rsidRPr="00A15D31">
        <w:rPr>
          <w:rFonts w:cs="Times New Roman"/>
        </w:rPr>
        <w:t>d by the National Renewable Energy Laboratory (NREL)</w:t>
      </w:r>
      <w:r w:rsidR="00417523">
        <w:rPr>
          <w:rFonts w:cs="Times New Roman"/>
        </w:rPr>
        <w:t xml:space="preserve">. </w:t>
      </w:r>
      <w:r w:rsidR="00B67D60">
        <w:rPr>
          <w:rFonts w:cs="Times New Roman"/>
        </w:rPr>
        <w:t xml:space="preserve">The heat demand analysis presented in this paper is one of several planned for </w:t>
      </w:r>
      <w:r w:rsidR="00F84BC9">
        <w:rPr>
          <w:rFonts w:cs="Times New Roman"/>
        </w:rPr>
        <w:t>DU</w:t>
      </w:r>
      <w:r w:rsidR="00B67D60">
        <w:rPr>
          <w:rFonts w:cs="Times New Roman"/>
        </w:rPr>
        <w:t xml:space="preserve"> for the </w:t>
      </w:r>
      <w:r w:rsidR="00806FB4">
        <w:rPr>
          <w:rFonts w:cs="Times New Roman"/>
        </w:rPr>
        <w:t>GVS</w:t>
      </w:r>
      <w:r w:rsidR="00417523">
        <w:rPr>
          <w:rFonts w:cs="Times New Roman"/>
        </w:rPr>
        <w:t xml:space="preserve">. </w:t>
      </w:r>
      <w:r w:rsidR="00B67D60">
        <w:rPr>
          <w:rFonts w:cs="Times New Roman"/>
        </w:rPr>
        <w:t xml:space="preserve">Additional </w:t>
      </w:r>
      <w:r w:rsidR="00667A0B">
        <w:rPr>
          <w:rFonts w:cs="Times New Roman"/>
        </w:rPr>
        <w:t xml:space="preserve">planned </w:t>
      </w:r>
      <w:r w:rsidR="00B67D60">
        <w:rPr>
          <w:rFonts w:cs="Times New Roman"/>
        </w:rPr>
        <w:t>topics include:</w:t>
      </w:r>
      <w:r w:rsidR="00667A0B">
        <w:rPr>
          <w:rFonts w:cs="Times New Roman"/>
        </w:rPr>
        <w:t xml:space="preserve"> low-temperature resource assessment and technical potential, </w:t>
      </w:r>
      <w:r w:rsidR="00F84BC9" w:rsidRPr="00234FAD">
        <w:rPr>
          <w:rFonts w:cs="Times New Roman"/>
        </w:rPr>
        <w:t>and</w:t>
      </w:r>
      <w:r w:rsidR="00F84BC9">
        <w:rPr>
          <w:rFonts w:cs="Times New Roman"/>
        </w:rPr>
        <w:t xml:space="preserve"> </w:t>
      </w:r>
      <w:r w:rsidR="00667A0B">
        <w:rPr>
          <w:rFonts w:cs="Times New Roman"/>
        </w:rPr>
        <w:t xml:space="preserve">cost and market potential analyses for geothermal </w:t>
      </w:r>
      <w:r w:rsidR="00F84BC9">
        <w:rPr>
          <w:rFonts w:cs="Times New Roman"/>
        </w:rPr>
        <w:t>DU</w:t>
      </w:r>
      <w:r w:rsidR="00667A0B">
        <w:rPr>
          <w:rFonts w:cs="Times New Roman"/>
        </w:rPr>
        <w:t xml:space="preserve"> in the U</w:t>
      </w:r>
      <w:r w:rsidR="009D64EA">
        <w:rPr>
          <w:rFonts w:cs="Times New Roman"/>
        </w:rPr>
        <w:t xml:space="preserve">nited </w:t>
      </w:r>
      <w:r w:rsidR="00667A0B">
        <w:rPr>
          <w:rFonts w:cs="Times New Roman"/>
        </w:rPr>
        <w:t>S</w:t>
      </w:r>
      <w:r w:rsidR="009D64EA">
        <w:rPr>
          <w:rFonts w:cs="Times New Roman"/>
        </w:rPr>
        <w:t>tates</w:t>
      </w:r>
      <w:r w:rsidR="00667A0B">
        <w:rPr>
          <w:rFonts w:cs="Times New Roman"/>
        </w:rPr>
        <w:t xml:space="preserve">. </w:t>
      </w:r>
    </w:p>
    <w:p w14:paraId="4C06DF48" w14:textId="77777777" w:rsidR="00B67D60" w:rsidRPr="00A15D31" w:rsidRDefault="00B67D60">
      <w:pPr>
        <w:rPr>
          <w:rFonts w:cs="Times New Roman"/>
        </w:rPr>
      </w:pPr>
    </w:p>
    <w:p w14:paraId="3CF41845" w14:textId="2BA91DF6" w:rsidR="00427C94" w:rsidRDefault="00427C94">
      <w:pPr>
        <w:rPr>
          <w:rFonts w:cs="Times New Roman"/>
        </w:rPr>
      </w:pPr>
      <w:r w:rsidRPr="00A15D31">
        <w:rPr>
          <w:rFonts w:cs="Times New Roman"/>
        </w:rPr>
        <w:t xml:space="preserve">Our </w:t>
      </w:r>
      <w:r w:rsidRPr="00234FAD">
        <w:rPr>
          <w:rFonts w:cs="Times New Roman"/>
        </w:rPr>
        <w:t>focus</w:t>
      </w:r>
      <w:r w:rsidRPr="00A15D31">
        <w:rPr>
          <w:rFonts w:cs="Times New Roman"/>
        </w:rPr>
        <w:t xml:space="preserve"> in this paper on thermal demand in the range of 30° to 150°C was designed to avoid duplication with related GVS studies focused on the electric power sector, which focus on resources above 150°C</w:t>
      </w:r>
      <w:r w:rsidR="00417523">
        <w:rPr>
          <w:rFonts w:cs="Times New Roman"/>
        </w:rPr>
        <w:t xml:space="preserve">. </w:t>
      </w:r>
      <w:r w:rsidRPr="00A15D31">
        <w:rPr>
          <w:rFonts w:cs="Times New Roman"/>
        </w:rPr>
        <w:t>For the residential and commercial sectors, we focused on low-temperature thermal demand for space heating and water heating</w:t>
      </w:r>
      <w:r w:rsidR="00417523">
        <w:rPr>
          <w:rFonts w:cs="Times New Roman"/>
        </w:rPr>
        <w:t xml:space="preserve">. </w:t>
      </w:r>
      <w:r w:rsidR="00667A0B">
        <w:rPr>
          <w:rFonts w:cs="Times New Roman"/>
        </w:rPr>
        <w:t>I</w:t>
      </w:r>
      <w:r w:rsidRPr="00A15D31">
        <w:rPr>
          <w:rFonts w:cs="Times New Roman"/>
        </w:rPr>
        <w:t xml:space="preserve">n the manufacturing and </w:t>
      </w:r>
      <w:r w:rsidRPr="00A15D31">
        <w:rPr>
          <w:rFonts w:cs="Times New Roman"/>
        </w:rPr>
        <w:lastRenderedPageBreak/>
        <w:t xml:space="preserve">agricultural sectors, we </w:t>
      </w:r>
      <w:r w:rsidR="00667A0B">
        <w:rPr>
          <w:rFonts w:cs="Times New Roman"/>
        </w:rPr>
        <w:t>assessed</w:t>
      </w:r>
      <w:r w:rsidRPr="00A15D31">
        <w:rPr>
          <w:rFonts w:cs="Times New Roman"/>
        </w:rPr>
        <w:t xml:space="preserve"> end-use demand for low-temperature resources for space, water, and process heating</w:t>
      </w:r>
      <w:r w:rsidR="00417523">
        <w:rPr>
          <w:rFonts w:cs="Times New Roman"/>
        </w:rPr>
        <w:t xml:space="preserve">. </w:t>
      </w:r>
      <w:r w:rsidR="00232B26" w:rsidRPr="00232B26">
        <w:rPr>
          <w:rFonts w:cs="Times New Roman"/>
        </w:rPr>
        <w:t xml:space="preserve">The data developed through this analysis will be combined with locally resolved low-temperature geothermal resource data (Mullane et al. 2016) in </w:t>
      </w:r>
      <w:r w:rsidR="00A744A5">
        <w:rPr>
          <w:rFonts w:cs="Times New Roman"/>
        </w:rPr>
        <w:t>NREL’s distributed geothermal systems (</w:t>
      </w:r>
      <w:r w:rsidR="00232B26" w:rsidRPr="00232B26">
        <w:rPr>
          <w:rFonts w:cs="Times New Roman"/>
        </w:rPr>
        <w:t>dGeo</w:t>
      </w:r>
      <w:r w:rsidR="00A744A5">
        <w:rPr>
          <w:rFonts w:cs="Times New Roman"/>
        </w:rPr>
        <w:t>)</w:t>
      </w:r>
      <w:r w:rsidR="00232B26" w:rsidRPr="00232B26">
        <w:rPr>
          <w:rFonts w:cs="Times New Roman"/>
        </w:rPr>
        <w:t xml:space="preserve"> model to assess the market potential for DU applications in these end-use sectors</w:t>
      </w:r>
      <w:r w:rsidR="00417523">
        <w:rPr>
          <w:rFonts w:cs="Times New Roman"/>
        </w:rPr>
        <w:t xml:space="preserve">. </w:t>
      </w:r>
      <w:r w:rsidR="00D83431">
        <w:rPr>
          <w:rFonts w:cs="Times New Roman"/>
        </w:rPr>
        <w:t>Data are</w:t>
      </w:r>
      <w:r w:rsidR="00A01CEA">
        <w:rPr>
          <w:rFonts w:cs="Times New Roman"/>
        </w:rPr>
        <w:t xml:space="preserve"> available </w:t>
      </w:r>
      <w:r w:rsidR="00D83431">
        <w:rPr>
          <w:rFonts w:cs="Times New Roman"/>
        </w:rPr>
        <w:t xml:space="preserve">for download </w:t>
      </w:r>
      <w:r w:rsidR="00A01CEA">
        <w:rPr>
          <w:rFonts w:cs="Times New Roman"/>
        </w:rPr>
        <w:t xml:space="preserve">on the Geothermal </w:t>
      </w:r>
      <w:r w:rsidR="00752FA6">
        <w:rPr>
          <w:rFonts w:cs="Times New Roman"/>
        </w:rPr>
        <w:t>Data Repository</w:t>
      </w:r>
      <w:r w:rsidR="00A01CEA">
        <w:rPr>
          <w:rFonts w:cs="Times New Roman"/>
        </w:rPr>
        <w:t xml:space="preserve"> (</w:t>
      </w:r>
      <w:r w:rsidR="00752FA6">
        <w:rPr>
          <w:rFonts w:cs="Times New Roman"/>
        </w:rPr>
        <w:t>GD</w:t>
      </w:r>
      <w:r w:rsidR="0073431D">
        <w:rPr>
          <w:rFonts w:cs="Times New Roman"/>
        </w:rPr>
        <w:t xml:space="preserve">R - </w:t>
      </w:r>
      <w:r w:rsidR="006A7645" w:rsidRPr="006A7645">
        <w:rPr>
          <w:rFonts w:cs="Times New Roman"/>
        </w:rPr>
        <w:t>https://gdr.openei.org</w:t>
      </w:r>
      <w:r w:rsidR="006A7645">
        <w:rPr>
          <w:rFonts w:cs="Times New Roman"/>
        </w:rPr>
        <w:t>)</w:t>
      </w:r>
      <w:r w:rsidR="00D83431">
        <w:rPr>
          <w:rFonts w:cs="Times New Roman"/>
        </w:rPr>
        <w:t>,</w:t>
      </w:r>
      <w:r w:rsidR="00C673FD" w:rsidRPr="00C673FD">
        <w:rPr>
          <w:rFonts w:cs="Times New Roman"/>
        </w:rPr>
        <w:t xml:space="preserve"> </w:t>
      </w:r>
      <w:r w:rsidR="00C673FD">
        <w:rPr>
          <w:rFonts w:cs="Times New Roman"/>
        </w:rPr>
        <w:t>the submission point for data collected from researchers funded by the DOE’s Geothermal Technologies Office.</w:t>
      </w:r>
    </w:p>
    <w:p w14:paraId="0E4B46DC" w14:textId="77777777" w:rsidR="00141E76" w:rsidRDefault="00141E76">
      <w:pPr>
        <w:rPr>
          <w:rFonts w:cs="Times New Roman"/>
        </w:rPr>
      </w:pPr>
    </w:p>
    <w:p w14:paraId="0630FDEF" w14:textId="77777777" w:rsidR="00141E76" w:rsidRPr="005139F5" w:rsidRDefault="00141E76" w:rsidP="00141E76">
      <w:pPr>
        <w:rPr>
          <w:rFonts w:cs="Times New Roman"/>
        </w:rPr>
      </w:pPr>
      <w:r w:rsidRPr="005139F5">
        <w:rPr>
          <w:rFonts w:cs="Times New Roman"/>
        </w:rPr>
        <w:t>In this paper we discuss:</w:t>
      </w:r>
    </w:p>
    <w:p w14:paraId="208A8042" w14:textId="20CFD654" w:rsidR="00141E76" w:rsidRPr="005139F5" w:rsidRDefault="00141E76" w:rsidP="00141E76">
      <w:pPr>
        <w:pStyle w:val="ListParagraph"/>
        <w:numPr>
          <w:ilvl w:val="0"/>
          <w:numId w:val="1"/>
        </w:numPr>
        <w:rPr>
          <w:rFonts w:cs="Times New Roman"/>
        </w:rPr>
      </w:pPr>
      <w:r w:rsidRPr="005139F5">
        <w:rPr>
          <w:rFonts w:cs="Times New Roman"/>
        </w:rPr>
        <w:t xml:space="preserve">Background information on </w:t>
      </w:r>
      <w:r w:rsidR="00056FDA">
        <w:rPr>
          <w:rFonts w:cs="Times New Roman"/>
        </w:rPr>
        <w:t>the U.S. heat marke</w:t>
      </w:r>
      <w:r w:rsidR="008F7D6F">
        <w:rPr>
          <w:rFonts w:cs="Times New Roman"/>
        </w:rPr>
        <w:t>t</w:t>
      </w:r>
    </w:p>
    <w:p w14:paraId="7C6733EC" w14:textId="12FAE639" w:rsidR="00141E76" w:rsidRPr="005139F5" w:rsidRDefault="00056FDA" w:rsidP="00141E76">
      <w:pPr>
        <w:pStyle w:val="ListParagraph"/>
        <w:numPr>
          <w:ilvl w:val="0"/>
          <w:numId w:val="1"/>
        </w:numPr>
        <w:rPr>
          <w:rFonts w:cs="Times New Roman"/>
        </w:rPr>
      </w:pPr>
      <w:r>
        <w:rPr>
          <w:rFonts w:cs="Times New Roman"/>
        </w:rPr>
        <w:t xml:space="preserve">Available datasets for assessing the </w:t>
      </w:r>
      <w:r w:rsidR="006A7645">
        <w:rPr>
          <w:rFonts w:cs="Times New Roman"/>
        </w:rPr>
        <w:t xml:space="preserve">U.S. </w:t>
      </w:r>
      <w:r>
        <w:rPr>
          <w:rFonts w:cs="Times New Roman"/>
        </w:rPr>
        <w:t>heat market</w:t>
      </w:r>
    </w:p>
    <w:p w14:paraId="1E3FDDAC" w14:textId="3E5EDB9E" w:rsidR="00141E76" w:rsidRPr="005139F5" w:rsidRDefault="00056FDA" w:rsidP="00141E76">
      <w:pPr>
        <w:pStyle w:val="ListParagraph"/>
        <w:numPr>
          <w:ilvl w:val="0"/>
          <w:numId w:val="1"/>
        </w:numPr>
        <w:rPr>
          <w:rFonts w:cs="Times New Roman"/>
        </w:rPr>
      </w:pPr>
      <w:r>
        <w:rPr>
          <w:rFonts w:cs="Times New Roman"/>
        </w:rPr>
        <w:t>The methodology used for disaggrega</w:t>
      </w:r>
      <w:r w:rsidR="006A7645">
        <w:rPr>
          <w:rFonts w:cs="Times New Roman"/>
        </w:rPr>
        <w:t>t</w:t>
      </w:r>
      <w:r>
        <w:rPr>
          <w:rFonts w:cs="Times New Roman"/>
        </w:rPr>
        <w:t>ing the heat demand data to the county level for each of the four sectors: residential, commercial, manufacturing and agriculture</w:t>
      </w:r>
    </w:p>
    <w:p w14:paraId="1327C98F" w14:textId="3B0DB59D" w:rsidR="00141E76" w:rsidRPr="005139F5" w:rsidRDefault="009D64EA" w:rsidP="00141E76">
      <w:pPr>
        <w:pStyle w:val="ListParagraph"/>
        <w:numPr>
          <w:ilvl w:val="0"/>
          <w:numId w:val="1"/>
        </w:numPr>
        <w:rPr>
          <w:rFonts w:cs="Times New Roman"/>
        </w:rPr>
      </w:pPr>
      <w:r>
        <w:rPr>
          <w:rFonts w:cs="Times New Roman"/>
        </w:rPr>
        <w:t>R</w:t>
      </w:r>
      <w:r w:rsidR="00056FDA">
        <w:rPr>
          <w:rFonts w:cs="Times New Roman"/>
        </w:rPr>
        <w:t>esults</w:t>
      </w:r>
      <w:r w:rsidR="00141E76" w:rsidRPr="005139F5">
        <w:rPr>
          <w:rFonts w:cs="Times New Roman"/>
        </w:rPr>
        <w:t xml:space="preserve"> and n</w:t>
      </w:r>
      <w:r w:rsidR="006A7645">
        <w:rPr>
          <w:rFonts w:cs="Times New Roman"/>
        </w:rPr>
        <w:t>ext steps for future analysis</w:t>
      </w:r>
      <w:r w:rsidR="00141E76" w:rsidRPr="005139F5">
        <w:rPr>
          <w:rFonts w:cs="Times New Roman"/>
        </w:rPr>
        <w:t>.</w:t>
      </w:r>
    </w:p>
    <w:p w14:paraId="3AFC913F" w14:textId="77777777" w:rsidR="00427C94" w:rsidRDefault="00427C94" w:rsidP="00637CD1">
      <w:pPr>
        <w:rPr>
          <w:rFonts w:cs="Times New Roman"/>
          <w:b/>
          <w:sz w:val="28"/>
          <w:szCs w:val="28"/>
        </w:rPr>
      </w:pPr>
    </w:p>
    <w:p w14:paraId="1BF2F9B0" w14:textId="53618FD5" w:rsidR="00121D8F" w:rsidRDefault="00121D8F" w:rsidP="00637CD1">
      <w:pPr>
        <w:rPr>
          <w:rFonts w:cs="Times New Roman"/>
          <w:sz w:val="28"/>
          <w:szCs w:val="28"/>
        </w:rPr>
      </w:pPr>
      <w:r>
        <w:rPr>
          <w:rFonts w:cs="Times New Roman"/>
          <w:b/>
          <w:sz w:val="28"/>
          <w:szCs w:val="28"/>
        </w:rPr>
        <w:t>Background</w:t>
      </w:r>
    </w:p>
    <w:p w14:paraId="6C98DB4F" w14:textId="6B175B7A" w:rsidR="004B2787" w:rsidRDefault="00121D8F" w:rsidP="00121D8F">
      <w:pPr>
        <w:rPr>
          <w:rFonts w:cs="Times New Roman"/>
        </w:rPr>
      </w:pPr>
      <w:r w:rsidRPr="00121D8F">
        <w:rPr>
          <w:rFonts w:cs="Times New Roman"/>
        </w:rPr>
        <w:t>Data on the U.S. heat market is very limited, with the majority of current data coming from the Energy Information Administration’s (EIA’s) periodic surveys of energy consumption</w:t>
      </w:r>
      <w:r w:rsidR="00EE187E">
        <w:rPr>
          <w:rFonts w:cs="Times New Roman"/>
        </w:rPr>
        <w:t xml:space="preserve"> (EIA </w:t>
      </w:r>
      <w:r w:rsidR="00FB3E83">
        <w:rPr>
          <w:rFonts w:cs="Times New Roman"/>
        </w:rPr>
        <w:t>2003</w:t>
      </w:r>
      <w:r w:rsidR="008F7D6F">
        <w:rPr>
          <w:rFonts w:cs="Times New Roman"/>
        </w:rPr>
        <w:t xml:space="preserve">, </w:t>
      </w:r>
      <w:r w:rsidR="00EE187E">
        <w:rPr>
          <w:rFonts w:cs="Times New Roman"/>
        </w:rPr>
        <w:t>2009</w:t>
      </w:r>
      <w:r w:rsidR="008F7D6F">
        <w:rPr>
          <w:rFonts w:cs="Times New Roman"/>
        </w:rPr>
        <w:t xml:space="preserve">, </w:t>
      </w:r>
      <w:r w:rsidR="00EE187E">
        <w:rPr>
          <w:rFonts w:cs="Times New Roman"/>
        </w:rPr>
        <w:t>2010</w:t>
      </w:r>
      <w:r w:rsidR="008F7D6F">
        <w:rPr>
          <w:rFonts w:cs="Times New Roman"/>
        </w:rPr>
        <w:t xml:space="preserve">, </w:t>
      </w:r>
      <w:r w:rsidR="00EE187E">
        <w:rPr>
          <w:rFonts w:cs="Times New Roman"/>
        </w:rPr>
        <w:t>2012)</w:t>
      </w:r>
      <w:r w:rsidRPr="00121D8F">
        <w:rPr>
          <w:rFonts w:cs="Times New Roman"/>
        </w:rPr>
        <w:t xml:space="preserve">. </w:t>
      </w:r>
      <w:r w:rsidR="00831E01">
        <w:rPr>
          <w:rFonts w:cs="Times New Roman"/>
        </w:rPr>
        <w:t xml:space="preserve">These surveys estimate that the total heat consumption in the </w:t>
      </w:r>
      <w:r w:rsidR="008F7D6F">
        <w:rPr>
          <w:rFonts w:cs="Times New Roman"/>
        </w:rPr>
        <w:t>United States</w:t>
      </w:r>
      <w:r w:rsidR="00831E01">
        <w:rPr>
          <w:rFonts w:cs="Times New Roman"/>
        </w:rPr>
        <w:t xml:space="preserve"> for the residential, commercial, </w:t>
      </w:r>
      <w:r w:rsidR="007857F4">
        <w:rPr>
          <w:rFonts w:cs="Times New Roman"/>
        </w:rPr>
        <w:t xml:space="preserve">and </w:t>
      </w:r>
      <w:r w:rsidR="00831E01">
        <w:rPr>
          <w:rFonts w:cs="Times New Roman"/>
        </w:rPr>
        <w:t>manufact</w:t>
      </w:r>
      <w:r w:rsidR="007857F4">
        <w:rPr>
          <w:rFonts w:cs="Times New Roman"/>
        </w:rPr>
        <w:t>uring</w:t>
      </w:r>
      <w:r w:rsidR="00546B35">
        <w:rPr>
          <w:rFonts w:cs="Times New Roman"/>
        </w:rPr>
        <w:t xml:space="preserve"> sectors is approximately </w:t>
      </w:r>
      <w:r w:rsidR="00D80129">
        <w:rPr>
          <w:rFonts w:cs="Times New Roman"/>
        </w:rPr>
        <w:t>12</w:t>
      </w:r>
      <w:r w:rsidR="007213D6">
        <w:rPr>
          <w:rFonts w:cs="Times New Roman"/>
        </w:rPr>
        <w:t xml:space="preserve"> quad</w:t>
      </w:r>
      <w:r w:rsidR="0084064A">
        <w:rPr>
          <w:rFonts w:cs="Times New Roman"/>
        </w:rPr>
        <w:t xml:space="preserve">rillion </w:t>
      </w:r>
      <w:r w:rsidR="008F7D6F">
        <w:rPr>
          <w:rFonts w:cs="Times New Roman"/>
        </w:rPr>
        <w:t>Btu</w:t>
      </w:r>
      <w:r w:rsidR="0084064A">
        <w:rPr>
          <w:rFonts w:cs="Times New Roman"/>
        </w:rPr>
        <w:t>, or quads</w:t>
      </w:r>
      <w:r w:rsidR="007070ED">
        <w:rPr>
          <w:rFonts w:cs="Times New Roman"/>
        </w:rPr>
        <w:t xml:space="preserve"> (Figure 1)</w:t>
      </w:r>
      <w:r w:rsidR="00E32592">
        <w:rPr>
          <w:rFonts w:cs="Times New Roman"/>
        </w:rPr>
        <w:t xml:space="preserve">. </w:t>
      </w:r>
      <w:r w:rsidR="00A744A5">
        <w:rPr>
          <w:rFonts w:cs="Times New Roman"/>
        </w:rPr>
        <w:t>Using EIA data and a separate analysis, Fox et al. (2011) estimated that 31.7 quads of thermal energy in the range of 0</w:t>
      </w:r>
      <w:r w:rsidR="008F7D6F">
        <w:rPr>
          <w:rFonts w:cs="Times New Roman"/>
        </w:rPr>
        <w:t>°–</w:t>
      </w:r>
      <w:r w:rsidR="00A744A5">
        <w:rPr>
          <w:rFonts w:cs="Times New Roman"/>
        </w:rPr>
        <w:t>260</w:t>
      </w:r>
      <w:r w:rsidR="00A744A5" w:rsidRPr="00A15D31">
        <w:rPr>
          <w:rFonts w:cs="Times New Roman"/>
        </w:rPr>
        <w:t>°</w:t>
      </w:r>
      <w:r w:rsidR="00A744A5">
        <w:rPr>
          <w:rFonts w:cs="Times New Roman"/>
        </w:rPr>
        <w:t xml:space="preserve">C </w:t>
      </w:r>
      <w:r w:rsidR="002A7B26">
        <w:rPr>
          <w:rFonts w:cs="Times New Roman"/>
        </w:rPr>
        <w:t>were</w:t>
      </w:r>
      <w:r w:rsidR="00A744A5">
        <w:rPr>
          <w:rFonts w:cs="Times New Roman"/>
        </w:rPr>
        <w:t xml:space="preserve"> consumed in the </w:t>
      </w:r>
      <w:r w:rsidR="008F7D6F">
        <w:rPr>
          <w:rFonts w:cs="Times New Roman"/>
        </w:rPr>
        <w:t>United States</w:t>
      </w:r>
      <w:r w:rsidR="00A744A5">
        <w:rPr>
          <w:rFonts w:cs="Times New Roman"/>
        </w:rPr>
        <w:t xml:space="preserve"> in 2008. Approximately 80% (25.4 quads) of this total was used to provide heat for end</w:t>
      </w:r>
      <w:r w:rsidR="008F7D6F">
        <w:rPr>
          <w:rFonts w:cs="Times New Roman"/>
        </w:rPr>
        <w:t xml:space="preserve"> </w:t>
      </w:r>
      <w:r w:rsidR="00A744A5">
        <w:rPr>
          <w:rFonts w:cs="Times New Roman"/>
        </w:rPr>
        <w:t>uses at temperatures less than 150</w:t>
      </w:r>
      <w:r w:rsidR="00A744A5" w:rsidRPr="00A15D31">
        <w:rPr>
          <w:rFonts w:cs="Times New Roman"/>
        </w:rPr>
        <w:t>°</w:t>
      </w:r>
      <w:r w:rsidR="00A744A5">
        <w:rPr>
          <w:rFonts w:cs="Times New Roman"/>
        </w:rPr>
        <w:t>C, including space and water heating, process heating, and refrigeration and cooling. In our analysis, heat is characterized by space and water heating demand in the residential and commercial sectors, process heat demand in the manufacturing sector, and space heating demand in the agricultural sector.</w:t>
      </w:r>
      <w:r w:rsidR="00CF630D">
        <w:rPr>
          <w:rFonts w:cs="Times New Roman"/>
        </w:rPr>
        <w:t xml:space="preserve"> </w:t>
      </w:r>
      <w:r w:rsidR="00FB3E83">
        <w:rPr>
          <w:rFonts w:cs="Times New Roman"/>
        </w:rPr>
        <w:t xml:space="preserve">One important detail to consider is that the data for each survey were released in different years. </w:t>
      </w:r>
      <w:r w:rsidR="00CF630D">
        <w:rPr>
          <w:rFonts w:cs="Times New Roman"/>
        </w:rPr>
        <w:t xml:space="preserve">In particular, note that </w:t>
      </w:r>
      <w:r w:rsidR="008F7D6F">
        <w:rPr>
          <w:rFonts w:cs="Times New Roman"/>
        </w:rPr>
        <w:t xml:space="preserve">the </w:t>
      </w:r>
      <w:r w:rsidR="008F7D6F" w:rsidRPr="008F7D6F">
        <w:rPr>
          <w:rFonts w:cs="Times New Roman"/>
        </w:rPr>
        <w:t xml:space="preserve">Commercial Buildings Energy Consumption Survey </w:t>
      </w:r>
      <w:r w:rsidR="008F7D6F">
        <w:rPr>
          <w:rFonts w:cs="Times New Roman"/>
        </w:rPr>
        <w:t>(</w:t>
      </w:r>
      <w:r w:rsidR="00CF630D">
        <w:rPr>
          <w:rFonts w:cs="Times New Roman"/>
        </w:rPr>
        <w:t>CBECS</w:t>
      </w:r>
      <w:r w:rsidR="008F7D6F">
        <w:rPr>
          <w:rFonts w:cs="Times New Roman"/>
        </w:rPr>
        <w:t>)</w:t>
      </w:r>
      <w:r w:rsidR="00CF630D">
        <w:rPr>
          <w:rFonts w:cs="Times New Roman"/>
        </w:rPr>
        <w:t xml:space="preserve"> has a 2003 release of granular data and a 2012 release of high-level demand data (with granular data forthcoming). </w:t>
      </w:r>
      <w:r w:rsidR="00FB3E83">
        <w:rPr>
          <w:rFonts w:cs="Times New Roman"/>
        </w:rPr>
        <w:t xml:space="preserve">Due to the complexity in extrapolating data to a single year, the demand in each sector is only reported with respect to the year its specific survey was released. </w:t>
      </w:r>
    </w:p>
    <w:p w14:paraId="235BFB4F" w14:textId="77777777" w:rsidR="004B2787" w:rsidRDefault="004B2787" w:rsidP="00121D8F">
      <w:pPr>
        <w:rPr>
          <w:rFonts w:cs="Times New Roman"/>
        </w:rPr>
      </w:pPr>
    </w:p>
    <w:p w14:paraId="715DBF96" w14:textId="5E7AAEF7" w:rsidR="00140C48" w:rsidRDefault="007070ED" w:rsidP="00A15D31">
      <w:pPr>
        <w:keepNext/>
      </w:pPr>
      <w:r>
        <w:rPr>
          <w:noProof/>
        </w:rPr>
        <w:lastRenderedPageBreak/>
        <w:drawing>
          <wp:inline distT="0" distB="0" distL="0" distR="0" wp14:anchorId="2C8FF338" wp14:editId="3A7B9552">
            <wp:extent cx="5943600" cy="2369369"/>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3600" cy="2369369"/>
                    </a:xfrm>
                    <a:prstGeom prst="rect">
                      <a:avLst/>
                    </a:prstGeom>
                    <a:noFill/>
                    <a:ln>
                      <a:noFill/>
                    </a:ln>
                  </pic:spPr>
                </pic:pic>
              </a:graphicData>
            </a:graphic>
          </wp:inline>
        </w:drawing>
      </w:r>
    </w:p>
    <w:p w14:paraId="0DE4228E" w14:textId="33162D2D" w:rsidR="00140C48" w:rsidRPr="00A15D31" w:rsidRDefault="00140C48" w:rsidP="00A15D31">
      <w:pPr>
        <w:keepNext/>
        <w:tabs>
          <w:tab w:val="center" w:pos="2610"/>
          <w:tab w:val="center" w:pos="7380"/>
        </w:tabs>
        <w:rPr>
          <w:rFonts w:cs="Times New Roman"/>
          <w:sz w:val="20"/>
        </w:rPr>
      </w:pPr>
      <w:r w:rsidRPr="00A15D31">
        <w:rPr>
          <w:rFonts w:cs="Times New Roman"/>
          <w:sz w:val="20"/>
        </w:rPr>
        <w:tab/>
        <w:t>(a)</w:t>
      </w:r>
      <w:r w:rsidRPr="00A15D31">
        <w:rPr>
          <w:rFonts w:cs="Times New Roman"/>
          <w:sz w:val="20"/>
        </w:rPr>
        <w:tab/>
        <w:t>(b)</w:t>
      </w:r>
    </w:p>
    <w:p w14:paraId="348BDDFF" w14:textId="0D366350" w:rsidR="00140C48" w:rsidRPr="00A15D31" w:rsidRDefault="00140C48">
      <w:pPr>
        <w:pStyle w:val="Caption"/>
        <w:rPr>
          <w:rFonts w:cs="Times New Roman"/>
          <w:b w:val="0"/>
          <w:color w:val="auto"/>
        </w:rPr>
      </w:pPr>
      <w:r w:rsidRPr="00A15D31">
        <w:rPr>
          <w:rFonts w:cs="Times New Roman"/>
          <w:color w:val="auto"/>
        </w:rPr>
        <w:t xml:space="preserve">Figure </w:t>
      </w:r>
      <w:r w:rsidRPr="00A15D31">
        <w:rPr>
          <w:rFonts w:cs="Times New Roman"/>
          <w:color w:val="auto"/>
        </w:rPr>
        <w:fldChar w:fldCharType="begin"/>
      </w:r>
      <w:r w:rsidRPr="00A15D31">
        <w:rPr>
          <w:rFonts w:cs="Times New Roman"/>
          <w:color w:val="auto"/>
        </w:rPr>
        <w:instrText xml:space="preserve"> SEQ Figure \* ARABIC </w:instrText>
      </w:r>
      <w:r w:rsidRPr="00A15D31">
        <w:rPr>
          <w:rFonts w:cs="Times New Roman"/>
          <w:color w:val="auto"/>
        </w:rPr>
        <w:fldChar w:fldCharType="separate"/>
      </w:r>
      <w:r w:rsidR="00244063">
        <w:rPr>
          <w:rFonts w:cs="Times New Roman"/>
          <w:noProof/>
          <w:color w:val="auto"/>
        </w:rPr>
        <w:t>1</w:t>
      </w:r>
      <w:r w:rsidRPr="00A15D31">
        <w:rPr>
          <w:rFonts w:cs="Times New Roman"/>
          <w:color w:val="auto"/>
        </w:rPr>
        <w:fldChar w:fldCharType="end"/>
      </w:r>
      <w:r w:rsidRPr="00A15D31">
        <w:rPr>
          <w:rFonts w:cs="Times New Roman"/>
          <w:color w:val="auto"/>
        </w:rPr>
        <w:t xml:space="preserve">: </w:t>
      </w:r>
      <w:r w:rsidRPr="00A15D31">
        <w:rPr>
          <w:rFonts w:cs="Times New Roman"/>
          <w:b w:val="0"/>
          <w:color w:val="auto"/>
        </w:rPr>
        <w:t xml:space="preserve">(a) Total energy demand in the </w:t>
      </w:r>
      <w:r w:rsidR="008F7D6F">
        <w:rPr>
          <w:rFonts w:cs="Times New Roman"/>
          <w:b w:val="0"/>
          <w:color w:val="auto"/>
        </w:rPr>
        <w:t>United States</w:t>
      </w:r>
      <w:r w:rsidRPr="00A15D31">
        <w:rPr>
          <w:rFonts w:cs="Times New Roman"/>
          <w:b w:val="0"/>
          <w:color w:val="auto"/>
        </w:rPr>
        <w:t xml:space="preserve"> by sector</w:t>
      </w:r>
      <w:r w:rsidR="00F44132">
        <w:rPr>
          <w:rFonts w:cs="Times New Roman"/>
          <w:b w:val="0"/>
          <w:color w:val="auto"/>
        </w:rPr>
        <w:t xml:space="preserve"> (~32 quads)</w:t>
      </w:r>
      <w:r w:rsidR="00417523">
        <w:rPr>
          <w:rFonts w:cs="Times New Roman"/>
          <w:b w:val="0"/>
          <w:color w:val="auto"/>
        </w:rPr>
        <w:t xml:space="preserve">. </w:t>
      </w:r>
      <w:r w:rsidRPr="00A15D31">
        <w:rPr>
          <w:rFonts w:cs="Times New Roman"/>
          <w:b w:val="0"/>
          <w:color w:val="auto"/>
        </w:rPr>
        <w:t>Thermal demand is show</w:t>
      </w:r>
      <w:r w:rsidR="00E36F81">
        <w:rPr>
          <w:rFonts w:cs="Times New Roman"/>
          <w:b w:val="0"/>
          <w:color w:val="auto"/>
        </w:rPr>
        <w:t>n</w:t>
      </w:r>
      <w:r w:rsidRPr="00A15D31">
        <w:rPr>
          <w:rFonts w:cs="Times New Roman"/>
          <w:b w:val="0"/>
          <w:color w:val="auto"/>
        </w:rPr>
        <w:t xml:space="preserve"> in solid colors in each bar</w:t>
      </w:r>
      <w:r w:rsidR="00417523">
        <w:rPr>
          <w:rFonts w:cs="Times New Roman"/>
          <w:b w:val="0"/>
          <w:color w:val="auto"/>
        </w:rPr>
        <w:t xml:space="preserve">. </w:t>
      </w:r>
      <w:r w:rsidRPr="00A15D31">
        <w:rPr>
          <w:rFonts w:cs="Times New Roman"/>
          <w:b w:val="0"/>
          <w:color w:val="auto"/>
        </w:rPr>
        <w:t>(b) T</w:t>
      </w:r>
      <w:r w:rsidR="006A4AA0" w:rsidRPr="00A15D31">
        <w:rPr>
          <w:rFonts w:cs="Times New Roman"/>
          <w:b w:val="0"/>
          <w:color w:val="auto"/>
        </w:rPr>
        <w:t>otal t</w:t>
      </w:r>
      <w:r w:rsidRPr="00A15D31">
        <w:rPr>
          <w:rFonts w:cs="Times New Roman"/>
          <w:b w:val="0"/>
          <w:color w:val="auto"/>
        </w:rPr>
        <w:t xml:space="preserve">hermal demand </w:t>
      </w:r>
      <w:r w:rsidR="006A4AA0" w:rsidRPr="00A15D31">
        <w:rPr>
          <w:rFonts w:cs="Times New Roman"/>
          <w:b w:val="0"/>
          <w:color w:val="auto"/>
        </w:rPr>
        <w:t xml:space="preserve">in the </w:t>
      </w:r>
      <w:r w:rsidR="008F7D6F">
        <w:rPr>
          <w:rFonts w:cs="Times New Roman"/>
          <w:b w:val="0"/>
          <w:color w:val="auto"/>
        </w:rPr>
        <w:t>United States</w:t>
      </w:r>
      <w:r w:rsidR="006A4AA0" w:rsidRPr="00A15D31">
        <w:rPr>
          <w:rFonts w:cs="Times New Roman"/>
          <w:b w:val="0"/>
          <w:color w:val="auto"/>
        </w:rPr>
        <w:t xml:space="preserve"> by sector.</w:t>
      </w:r>
      <w:r w:rsidR="00F44132">
        <w:rPr>
          <w:rFonts w:cs="Times New Roman"/>
          <w:b w:val="0"/>
          <w:color w:val="auto"/>
        </w:rPr>
        <w:t xml:space="preserve"> Source: EIA 2009</w:t>
      </w:r>
      <w:r w:rsidR="00321CD9">
        <w:rPr>
          <w:rFonts w:cs="Times New Roman"/>
          <w:b w:val="0"/>
          <w:color w:val="auto"/>
        </w:rPr>
        <w:t xml:space="preserve">, </w:t>
      </w:r>
      <w:r w:rsidR="00F44132">
        <w:rPr>
          <w:rFonts w:cs="Times New Roman"/>
          <w:b w:val="0"/>
          <w:color w:val="auto"/>
        </w:rPr>
        <w:t>2010</w:t>
      </w:r>
      <w:r w:rsidR="00321CD9">
        <w:rPr>
          <w:rFonts w:cs="Times New Roman"/>
          <w:b w:val="0"/>
          <w:color w:val="auto"/>
        </w:rPr>
        <w:t xml:space="preserve">, </w:t>
      </w:r>
      <w:r w:rsidR="00F44132">
        <w:rPr>
          <w:rFonts w:cs="Times New Roman"/>
          <w:b w:val="0"/>
          <w:color w:val="auto"/>
        </w:rPr>
        <w:t>2012.</w:t>
      </w:r>
    </w:p>
    <w:p w14:paraId="53645041" w14:textId="31CF096E" w:rsidR="00140C48" w:rsidRDefault="00140C48" w:rsidP="00121D8F">
      <w:pPr>
        <w:rPr>
          <w:rFonts w:cs="Times New Roman"/>
        </w:rPr>
      </w:pPr>
      <w:r w:rsidRPr="00140C48">
        <w:rPr>
          <w:noProof/>
        </w:rPr>
        <w:t xml:space="preserve"> </w:t>
      </w:r>
    </w:p>
    <w:p w14:paraId="78FC92BF" w14:textId="7A8CBD31" w:rsidR="00DB416B" w:rsidRDefault="004D7F93" w:rsidP="00121D8F">
      <w:pPr>
        <w:rPr>
          <w:rFonts w:cs="Times New Roman"/>
        </w:rPr>
      </w:pPr>
      <w:r>
        <w:rPr>
          <w:rFonts w:cs="Times New Roman"/>
        </w:rPr>
        <w:t xml:space="preserve">Thermal demand in the residential sector constitutes </w:t>
      </w:r>
      <w:r w:rsidR="00D80129">
        <w:rPr>
          <w:rFonts w:cs="Times New Roman"/>
        </w:rPr>
        <w:t>about</w:t>
      </w:r>
      <w:r w:rsidR="00667A0B">
        <w:rPr>
          <w:rFonts w:cs="Times New Roman"/>
        </w:rPr>
        <w:t xml:space="preserve"> </w:t>
      </w:r>
      <w:r>
        <w:rPr>
          <w:rFonts w:cs="Times New Roman"/>
        </w:rPr>
        <w:t xml:space="preserve">half (6.0 quads) of the </w:t>
      </w:r>
      <w:r w:rsidR="00667A0B">
        <w:rPr>
          <w:rFonts w:cs="Times New Roman"/>
        </w:rPr>
        <w:t>1</w:t>
      </w:r>
      <w:r w:rsidR="00D80129">
        <w:rPr>
          <w:rFonts w:cs="Times New Roman"/>
        </w:rPr>
        <w:t>2</w:t>
      </w:r>
      <w:r w:rsidR="00667A0B">
        <w:rPr>
          <w:rFonts w:cs="Times New Roman"/>
        </w:rPr>
        <w:t xml:space="preserve"> quads of </w:t>
      </w:r>
      <w:r w:rsidR="0084064A">
        <w:rPr>
          <w:rFonts w:cs="Times New Roman"/>
        </w:rPr>
        <w:t>thermal energy</w:t>
      </w:r>
      <w:r w:rsidR="004B2787">
        <w:rPr>
          <w:rFonts w:cs="Times New Roman"/>
        </w:rPr>
        <w:t xml:space="preserve"> consumption</w:t>
      </w:r>
      <w:r w:rsidR="00667A0B">
        <w:rPr>
          <w:rFonts w:cs="Times New Roman"/>
        </w:rPr>
        <w:t xml:space="preserve"> in the U</w:t>
      </w:r>
      <w:r w:rsidR="00E36F81">
        <w:rPr>
          <w:rFonts w:cs="Times New Roman"/>
        </w:rPr>
        <w:t xml:space="preserve">nited </w:t>
      </w:r>
      <w:r w:rsidR="00667A0B">
        <w:rPr>
          <w:rFonts w:cs="Times New Roman"/>
        </w:rPr>
        <w:t>S</w:t>
      </w:r>
      <w:r w:rsidR="00E36F81">
        <w:rPr>
          <w:rFonts w:cs="Times New Roman"/>
        </w:rPr>
        <w:t>tates</w:t>
      </w:r>
      <w:r w:rsidR="00AD1E97">
        <w:rPr>
          <w:rFonts w:cs="Times New Roman"/>
        </w:rPr>
        <w:t xml:space="preserve"> (Figure 1b)</w:t>
      </w:r>
      <w:r w:rsidR="004B2787">
        <w:rPr>
          <w:rFonts w:cs="Times New Roman"/>
        </w:rPr>
        <w:t>. In addition, n</w:t>
      </w:r>
      <w:r w:rsidR="004B2787" w:rsidRPr="00121D8F">
        <w:rPr>
          <w:rFonts w:cs="Times New Roman"/>
        </w:rPr>
        <w:t xml:space="preserve">atural gas was the most utilized fuel for </w:t>
      </w:r>
      <w:r w:rsidR="0084064A">
        <w:rPr>
          <w:rFonts w:cs="Times New Roman"/>
        </w:rPr>
        <w:t>thermal energy</w:t>
      </w:r>
      <w:r w:rsidR="004B2787" w:rsidRPr="00121D8F">
        <w:rPr>
          <w:rFonts w:cs="Times New Roman"/>
        </w:rPr>
        <w:t xml:space="preserve"> in the residential sector, supplying 70% of the thermal demand (</w:t>
      </w:r>
      <w:r w:rsidR="004B2787">
        <w:rPr>
          <w:rFonts w:cs="Times New Roman"/>
        </w:rPr>
        <w:t>EIA 2009</w:t>
      </w:r>
      <w:r w:rsidR="004B2787" w:rsidRPr="00121D8F">
        <w:rPr>
          <w:rFonts w:cs="Times New Roman"/>
        </w:rPr>
        <w:t>).</w:t>
      </w:r>
      <w:r w:rsidR="004B2787">
        <w:rPr>
          <w:rFonts w:cs="Times New Roman"/>
        </w:rPr>
        <w:t xml:space="preserve"> </w:t>
      </w:r>
      <w:r w:rsidR="00C64D54">
        <w:rPr>
          <w:rFonts w:cs="Times New Roman"/>
        </w:rPr>
        <w:t>In the commercial sector,</w:t>
      </w:r>
      <w:r w:rsidR="0084064A">
        <w:rPr>
          <w:rFonts w:cs="Times New Roman"/>
        </w:rPr>
        <w:t xml:space="preserve"> space and water heating consume roughly 2.3 quads annually, accounting for roughly one-third of the total commercial energy consumption</w:t>
      </w:r>
      <w:r w:rsidR="0094436D">
        <w:rPr>
          <w:rFonts w:cs="Times New Roman"/>
        </w:rPr>
        <w:t xml:space="preserve"> (</w:t>
      </w:r>
      <w:r w:rsidR="0084064A">
        <w:rPr>
          <w:rFonts w:cs="Times New Roman"/>
        </w:rPr>
        <w:t>7 quads</w:t>
      </w:r>
      <w:r w:rsidR="0094436D">
        <w:rPr>
          <w:rFonts w:cs="Times New Roman"/>
        </w:rPr>
        <w:t>)</w:t>
      </w:r>
      <w:r w:rsidR="0084064A">
        <w:rPr>
          <w:rFonts w:cs="Times New Roman"/>
        </w:rPr>
        <w:t xml:space="preserve"> in 2012</w:t>
      </w:r>
      <w:r w:rsidR="00AD1E97">
        <w:rPr>
          <w:rFonts w:cs="Times New Roman"/>
        </w:rPr>
        <w:t xml:space="preserve"> (Figure 1a)</w:t>
      </w:r>
      <w:r w:rsidR="00417523">
        <w:rPr>
          <w:rFonts w:cs="Times New Roman"/>
        </w:rPr>
        <w:t xml:space="preserve">. </w:t>
      </w:r>
      <w:r w:rsidR="0084064A">
        <w:rPr>
          <w:rFonts w:cs="Times New Roman"/>
        </w:rPr>
        <w:t>D</w:t>
      </w:r>
      <w:r w:rsidR="004B2787">
        <w:rPr>
          <w:rFonts w:cs="Times New Roman"/>
        </w:rPr>
        <w:t xml:space="preserve">espite a 14% increase </w:t>
      </w:r>
      <w:r w:rsidR="004B2787" w:rsidRPr="00121D8F">
        <w:rPr>
          <w:rFonts w:cs="Times New Roman"/>
        </w:rPr>
        <w:t>in total building</w:t>
      </w:r>
      <w:r w:rsidR="004B2787">
        <w:rPr>
          <w:rFonts w:cs="Times New Roman"/>
        </w:rPr>
        <w:t xml:space="preserve"> count</w:t>
      </w:r>
      <w:r w:rsidR="004B2787" w:rsidRPr="00121D8F">
        <w:rPr>
          <w:rFonts w:cs="Times New Roman"/>
        </w:rPr>
        <w:t xml:space="preserve"> and a 22% increase in total </w:t>
      </w:r>
      <w:r w:rsidR="004B2787">
        <w:rPr>
          <w:rFonts w:cs="Times New Roman"/>
        </w:rPr>
        <w:t xml:space="preserve">building </w:t>
      </w:r>
      <w:r w:rsidR="0084064A">
        <w:rPr>
          <w:rFonts w:cs="Times New Roman"/>
        </w:rPr>
        <w:t>size (</w:t>
      </w:r>
      <w:r w:rsidR="00321CD9">
        <w:rPr>
          <w:rFonts w:cs="Times New Roman"/>
        </w:rPr>
        <w:t xml:space="preserve">i.e., </w:t>
      </w:r>
      <w:r w:rsidR="004B2787" w:rsidRPr="00121D8F">
        <w:rPr>
          <w:rFonts w:cs="Times New Roman"/>
        </w:rPr>
        <w:t>floor</w:t>
      </w:r>
      <w:r w:rsidR="0084064A">
        <w:rPr>
          <w:rFonts w:cs="Times New Roman"/>
        </w:rPr>
        <w:t xml:space="preserve"> </w:t>
      </w:r>
      <w:r w:rsidR="004B2787" w:rsidRPr="00121D8F">
        <w:rPr>
          <w:rFonts w:cs="Times New Roman"/>
        </w:rPr>
        <w:t>space</w:t>
      </w:r>
      <w:r w:rsidR="0084064A">
        <w:rPr>
          <w:rFonts w:cs="Times New Roman"/>
        </w:rPr>
        <w:t>)</w:t>
      </w:r>
      <w:r w:rsidR="004B2787" w:rsidRPr="00121D8F">
        <w:rPr>
          <w:rFonts w:cs="Times New Roman"/>
        </w:rPr>
        <w:t xml:space="preserve"> between 2003 and 2012</w:t>
      </w:r>
      <w:r w:rsidR="004D4BB7">
        <w:rPr>
          <w:rFonts w:cs="Times New Roman"/>
        </w:rPr>
        <w:t>,</w:t>
      </w:r>
      <w:r w:rsidR="00CA299A">
        <w:rPr>
          <w:rFonts w:cs="Times New Roman"/>
        </w:rPr>
        <w:t xml:space="preserve"> total commercial</w:t>
      </w:r>
      <w:r w:rsidR="004D4BB7">
        <w:rPr>
          <w:rFonts w:cs="Times New Roman"/>
        </w:rPr>
        <w:t xml:space="preserve"> energy consumption increased </w:t>
      </w:r>
      <w:r w:rsidR="006E7411">
        <w:rPr>
          <w:rFonts w:cs="Times New Roman"/>
        </w:rPr>
        <w:t xml:space="preserve">by </w:t>
      </w:r>
      <w:r w:rsidR="004D4BB7">
        <w:rPr>
          <w:rFonts w:cs="Times New Roman"/>
        </w:rPr>
        <w:t>only 7% in the same period (EIA 2012)</w:t>
      </w:r>
      <w:r w:rsidR="00CA299A">
        <w:rPr>
          <w:rFonts w:cs="Times New Roman"/>
        </w:rPr>
        <w:t>, reflecting increased building and appliance efficiency</w:t>
      </w:r>
      <w:r w:rsidR="004D4BB7">
        <w:rPr>
          <w:rFonts w:cs="Times New Roman"/>
        </w:rPr>
        <w:t xml:space="preserve">. </w:t>
      </w:r>
    </w:p>
    <w:p w14:paraId="0A0C0228" w14:textId="77777777" w:rsidR="00DB416B" w:rsidRDefault="00DB416B" w:rsidP="00121D8F">
      <w:pPr>
        <w:rPr>
          <w:rFonts w:cs="Times New Roman"/>
        </w:rPr>
      </w:pPr>
    </w:p>
    <w:p w14:paraId="5D083479" w14:textId="18DAA111" w:rsidR="00E32592" w:rsidRDefault="006C1B8B" w:rsidP="00121D8F">
      <w:pPr>
        <w:rPr>
          <w:rFonts w:cs="Times New Roman"/>
        </w:rPr>
      </w:pPr>
      <w:r>
        <w:rPr>
          <w:rFonts w:cs="Times New Roman"/>
        </w:rPr>
        <w:t>Total e</w:t>
      </w:r>
      <w:r w:rsidRPr="00121D8F">
        <w:rPr>
          <w:rFonts w:cs="Times New Roman"/>
        </w:rPr>
        <w:t>nergy consumed in the manuf</w:t>
      </w:r>
      <w:r w:rsidR="00D16D34">
        <w:rPr>
          <w:rFonts w:cs="Times New Roman"/>
        </w:rPr>
        <w:t>acturing sector in 2010 totaled</w:t>
      </w:r>
      <w:r w:rsidRPr="00121D8F">
        <w:rPr>
          <w:rFonts w:cs="Times New Roman"/>
        </w:rPr>
        <w:t xml:space="preserve"> just over 14.2 quads, with process heating and facility </w:t>
      </w:r>
      <w:r w:rsidR="009E669B" w:rsidRPr="009E669B">
        <w:rPr>
          <w:rFonts w:cs="Times New Roman"/>
        </w:rPr>
        <w:t>heating/ventilating/air conditioning</w:t>
      </w:r>
      <w:r w:rsidRPr="00121D8F">
        <w:rPr>
          <w:rFonts w:cs="Times New Roman"/>
        </w:rPr>
        <w:t xml:space="preserve"> (space heating assumed to be included) constituting </w:t>
      </w:r>
      <w:r>
        <w:rPr>
          <w:rFonts w:cs="Times New Roman"/>
        </w:rPr>
        <w:t>approximately 3.6 quads</w:t>
      </w:r>
      <w:r w:rsidR="00CA299A">
        <w:rPr>
          <w:rFonts w:cs="Times New Roman"/>
        </w:rPr>
        <w:t>,</w:t>
      </w:r>
      <w:r>
        <w:rPr>
          <w:rFonts w:cs="Times New Roman"/>
        </w:rPr>
        <w:t xml:space="preserve"> or about</w:t>
      </w:r>
      <w:r w:rsidRPr="00121D8F">
        <w:rPr>
          <w:rFonts w:cs="Times New Roman"/>
        </w:rPr>
        <w:t xml:space="preserve"> </w:t>
      </w:r>
      <w:r>
        <w:rPr>
          <w:rFonts w:cs="Times New Roman"/>
        </w:rPr>
        <w:t>25</w:t>
      </w:r>
      <w:r w:rsidRPr="00121D8F">
        <w:rPr>
          <w:rFonts w:cs="Times New Roman"/>
        </w:rPr>
        <w:t>% of th</w:t>
      </w:r>
      <w:r>
        <w:rPr>
          <w:rFonts w:cs="Times New Roman"/>
        </w:rPr>
        <w:t>e total</w:t>
      </w:r>
      <w:r w:rsidR="009B35C2">
        <w:rPr>
          <w:rFonts w:cs="Times New Roman"/>
        </w:rPr>
        <w:t xml:space="preserve"> </w:t>
      </w:r>
      <w:r>
        <w:rPr>
          <w:rFonts w:cs="Times New Roman"/>
        </w:rPr>
        <w:t>energy consumed</w:t>
      </w:r>
      <w:r w:rsidR="009B35C2">
        <w:rPr>
          <w:rFonts w:cs="Times New Roman"/>
        </w:rPr>
        <w:t xml:space="preserve"> for manufacturing</w:t>
      </w:r>
      <w:r>
        <w:rPr>
          <w:rFonts w:cs="Times New Roman"/>
        </w:rPr>
        <w:t xml:space="preserve"> </w:t>
      </w:r>
      <w:r w:rsidR="00320245">
        <w:rPr>
          <w:rFonts w:cs="Times New Roman"/>
        </w:rPr>
        <w:t>(EIA</w:t>
      </w:r>
      <w:r w:rsidRPr="00121D8F">
        <w:rPr>
          <w:rFonts w:cs="Times New Roman"/>
        </w:rPr>
        <w:t xml:space="preserve"> 2010)</w:t>
      </w:r>
      <w:r w:rsidR="00AD1E97">
        <w:rPr>
          <w:rFonts w:cs="Times New Roman"/>
        </w:rPr>
        <w:t xml:space="preserve"> (Figure 1a)</w:t>
      </w:r>
      <w:r w:rsidRPr="00121D8F">
        <w:rPr>
          <w:rFonts w:cs="Times New Roman"/>
        </w:rPr>
        <w:t>.</w:t>
      </w:r>
      <w:r w:rsidR="00DB416B">
        <w:rPr>
          <w:rFonts w:cs="Times New Roman"/>
        </w:rPr>
        <w:t xml:space="preserve"> </w:t>
      </w:r>
      <w:r w:rsidR="0044019C">
        <w:rPr>
          <w:rFonts w:cs="Times New Roman"/>
        </w:rPr>
        <w:t xml:space="preserve">In the agricultural sector, </w:t>
      </w:r>
      <w:r w:rsidR="00CA299A">
        <w:rPr>
          <w:rFonts w:cs="Times New Roman"/>
        </w:rPr>
        <w:t>an estimated</w:t>
      </w:r>
      <w:r w:rsidR="0044019C">
        <w:rPr>
          <w:rFonts w:cs="Times New Roman"/>
        </w:rPr>
        <w:t xml:space="preserve"> 0.8 quads of </w:t>
      </w:r>
      <w:r w:rsidR="008A2C22">
        <w:rPr>
          <w:rFonts w:cs="Times New Roman"/>
        </w:rPr>
        <w:t xml:space="preserve">total </w:t>
      </w:r>
      <w:r w:rsidR="0044019C">
        <w:rPr>
          <w:rFonts w:cs="Times New Roman"/>
        </w:rPr>
        <w:t>direct energy were consumed in 2012</w:t>
      </w:r>
      <w:r w:rsidR="00320245">
        <w:rPr>
          <w:rFonts w:cs="Times New Roman"/>
        </w:rPr>
        <w:t xml:space="preserve"> (EIA 2014)</w:t>
      </w:r>
      <w:r w:rsidR="0044019C">
        <w:rPr>
          <w:rFonts w:cs="Times New Roman"/>
        </w:rPr>
        <w:t xml:space="preserve">. This excludes indirect energy consumption, </w:t>
      </w:r>
      <w:r w:rsidR="00CA299A">
        <w:rPr>
          <w:rFonts w:cs="Times New Roman"/>
        </w:rPr>
        <w:t xml:space="preserve">which is </w:t>
      </w:r>
      <w:r w:rsidR="0044019C">
        <w:rPr>
          <w:rFonts w:cs="Times New Roman"/>
        </w:rPr>
        <w:t>typically characterized as fertilizer and pesticide</w:t>
      </w:r>
      <w:r w:rsidR="00355CB5">
        <w:rPr>
          <w:rFonts w:cs="Times New Roman"/>
        </w:rPr>
        <w:t xml:space="preserve"> inputs.</w:t>
      </w:r>
      <w:r w:rsidR="00B67ABF">
        <w:rPr>
          <w:rFonts w:cs="Times New Roman"/>
        </w:rPr>
        <w:t xml:space="preserve"> </w:t>
      </w:r>
      <w:r w:rsidR="00BF452A">
        <w:rPr>
          <w:rFonts w:cs="Times New Roman"/>
        </w:rPr>
        <w:t>Despite the lack of energy data in the agricultural sector, specifically regarding heat consumption, our analysis estimated the thermal demand of greenhouses to be approximately 0.02 quads</w:t>
      </w:r>
      <w:r w:rsidR="00AD1E97">
        <w:rPr>
          <w:rFonts w:cs="Times New Roman"/>
        </w:rPr>
        <w:t xml:space="preserve"> (Figure 1b)</w:t>
      </w:r>
      <w:r w:rsidR="00BF452A">
        <w:rPr>
          <w:rFonts w:cs="Times New Roman"/>
        </w:rPr>
        <w:t>.</w:t>
      </w:r>
    </w:p>
    <w:p w14:paraId="78631A29" w14:textId="77777777" w:rsidR="00E32592" w:rsidRDefault="00E32592" w:rsidP="00121D8F">
      <w:pPr>
        <w:rPr>
          <w:rFonts w:cs="Times New Roman"/>
        </w:rPr>
      </w:pPr>
    </w:p>
    <w:p w14:paraId="4877640F" w14:textId="348200CF" w:rsidR="00121D8F" w:rsidRPr="00121D8F" w:rsidRDefault="00E32592" w:rsidP="00121D8F">
      <w:pPr>
        <w:rPr>
          <w:rFonts w:cs="Times New Roman"/>
        </w:rPr>
      </w:pPr>
      <w:r>
        <w:rPr>
          <w:rFonts w:cs="Times New Roman"/>
        </w:rPr>
        <w:t>The total</w:t>
      </w:r>
      <w:r w:rsidR="00CA299A">
        <w:rPr>
          <w:rFonts w:cs="Times New Roman"/>
        </w:rPr>
        <w:t xml:space="preserve"> thermal energy consumption across these sectors (an estimated 1</w:t>
      </w:r>
      <w:r w:rsidR="00BF452A">
        <w:rPr>
          <w:rFonts w:cs="Times New Roman"/>
        </w:rPr>
        <w:t>1</w:t>
      </w:r>
      <w:r w:rsidR="00CA299A">
        <w:rPr>
          <w:rFonts w:cs="Times New Roman"/>
        </w:rPr>
        <w:t>.</w:t>
      </w:r>
      <w:r w:rsidR="00BF452A">
        <w:rPr>
          <w:rFonts w:cs="Times New Roman"/>
        </w:rPr>
        <w:t>9</w:t>
      </w:r>
      <w:r w:rsidR="00CA299A">
        <w:rPr>
          <w:rFonts w:cs="Times New Roman"/>
        </w:rPr>
        <w:t xml:space="preserve"> quads)</w:t>
      </w:r>
      <w:r>
        <w:rPr>
          <w:rFonts w:cs="Times New Roman"/>
        </w:rPr>
        <w:t xml:space="preserve"> represent</w:t>
      </w:r>
      <w:r w:rsidR="00CA299A">
        <w:rPr>
          <w:rFonts w:cs="Times New Roman"/>
        </w:rPr>
        <w:t>s</w:t>
      </w:r>
      <w:r w:rsidR="00907026">
        <w:rPr>
          <w:rFonts w:cs="Times New Roman"/>
        </w:rPr>
        <w:t xml:space="preserve"> a significant opportunity for the adoption of geothermal </w:t>
      </w:r>
      <w:r w:rsidR="00CA299A">
        <w:rPr>
          <w:rFonts w:cs="Times New Roman"/>
        </w:rPr>
        <w:t>DU</w:t>
      </w:r>
      <w:r w:rsidR="00907026">
        <w:rPr>
          <w:rFonts w:cs="Times New Roman"/>
        </w:rPr>
        <w:t xml:space="preserve"> heat</w:t>
      </w:r>
      <w:r>
        <w:rPr>
          <w:rFonts w:cs="Times New Roman"/>
        </w:rPr>
        <w:t>.</w:t>
      </w:r>
      <w:r w:rsidR="0043401F">
        <w:rPr>
          <w:rFonts w:cs="Times New Roman"/>
        </w:rPr>
        <w:t xml:space="preserve"> However, the spatial resolution of the currently available data is too coarse for a more detailed</w:t>
      </w:r>
      <w:r w:rsidR="00CA299A">
        <w:rPr>
          <w:rFonts w:cs="Times New Roman"/>
        </w:rPr>
        <w:t xml:space="preserve"> geo-spatial </w:t>
      </w:r>
      <w:r w:rsidR="00540267">
        <w:rPr>
          <w:rFonts w:cs="Times New Roman"/>
        </w:rPr>
        <w:t xml:space="preserve">technical potential </w:t>
      </w:r>
      <w:r w:rsidR="0043401F">
        <w:rPr>
          <w:rFonts w:cs="Times New Roman"/>
        </w:rPr>
        <w:t xml:space="preserve">analysis. </w:t>
      </w:r>
      <w:r w:rsidR="00121D8F" w:rsidRPr="00121D8F">
        <w:rPr>
          <w:rFonts w:cs="Times New Roman"/>
        </w:rPr>
        <w:t xml:space="preserve">In the residential sector, demand data </w:t>
      </w:r>
      <w:r w:rsidR="00440C2E">
        <w:rPr>
          <w:rFonts w:cs="Times New Roman"/>
        </w:rPr>
        <w:t>are</w:t>
      </w:r>
      <w:r w:rsidR="00440C2E" w:rsidRPr="00121D8F">
        <w:rPr>
          <w:rFonts w:cs="Times New Roman"/>
        </w:rPr>
        <w:t xml:space="preserve"> </w:t>
      </w:r>
      <w:r w:rsidR="00121D8F" w:rsidRPr="00121D8F">
        <w:rPr>
          <w:rFonts w:cs="Times New Roman"/>
        </w:rPr>
        <w:t xml:space="preserve">available </w:t>
      </w:r>
      <w:r w:rsidR="00AC6096">
        <w:rPr>
          <w:rFonts w:cs="Times New Roman"/>
        </w:rPr>
        <w:t>at the resolution of individual states</w:t>
      </w:r>
      <w:r w:rsidR="00121D8F" w:rsidRPr="00121D8F">
        <w:rPr>
          <w:rFonts w:cs="Times New Roman"/>
        </w:rPr>
        <w:t xml:space="preserve"> or small </w:t>
      </w:r>
      <w:r w:rsidR="00440C2E">
        <w:rPr>
          <w:rFonts w:cs="Times New Roman"/>
        </w:rPr>
        <w:t xml:space="preserve">multi-state regions comprising </w:t>
      </w:r>
      <w:r w:rsidR="00655E33">
        <w:rPr>
          <w:rFonts w:cs="Times New Roman"/>
        </w:rPr>
        <w:t xml:space="preserve">two </w:t>
      </w:r>
      <w:r w:rsidR="00440C2E">
        <w:rPr>
          <w:rFonts w:cs="Times New Roman"/>
        </w:rPr>
        <w:t xml:space="preserve">to </w:t>
      </w:r>
      <w:r w:rsidR="00655E33">
        <w:rPr>
          <w:rFonts w:cs="Times New Roman"/>
        </w:rPr>
        <w:t xml:space="preserve">five </w:t>
      </w:r>
      <w:r w:rsidR="00440C2E">
        <w:rPr>
          <w:rFonts w:cs="Times New Roman"/>
        </w:rPr>
        <w:t>states each</w:t>
      </w:r>
      <w:r w:rsidR="00121D8F" w:rsidRPr="00121D8F">
        <w:rPr>
          <w:rFonts w:cs="Times New Roman"/>
        </w:rPr>
        <w:t xml:space="preserve">. In the commercial and </w:t>
      </w:r>
      <w:r w:rsidR="00F02EF1">
        <w:rPr>
          <w:rFonts w:cs="Times New Roman"/>
        </w:rPr>
        <w:t>manufacturing</w:t>
      </w:r>
      <w:r w:rsidR="00F02EF1" w:rsidRPr="00121D8F">
        <w:rPr>
          <w:rFonts w:cs="Times New Roman"/>
        </w:rPr>
        <w:t xml:space="preserve"> </w:t>
      </w:r>
      <w:r w:rsidR="00121D8F" w:rsidRPr="00121D8F">
        <w:rPr>
          <w:rFonts w:cs="Times New Roman"/>
        </w:rPr>
        <w:t xml:space="preserve">sectors, data </w:t>
      </w:r>
      <w:r w:rsidR="00440C2E">
        <w:rPr>
          <w:rFonts w:cs="Times New Roman"/>
        </w:rPr>
        <w:t>are</w:t>
      </w:r>
      <w:r w:rsidR="00440C2E" w:rsidRPr="00121D8F">
        <w:rPr>
          <w:rFonts w:cs="Times New Roman"/>
        </w:rPr>
        <w:t xml:space="preserve"> </w:t>
      </w:r>
      <w:r w:rsidR="00121D8F" w:rsidRPr="00121D8F">
        <w:rPr>
          <w:rFonts w:cs="Times New Roman"/>
        </w:rPr>
        <w:t xml:space="preserve">only available at the </w:t>
      </w:r>
      <w:r w:rsidR="00440C2E">
        <w:rPr>
          <w:rFonts w:cs="Times New Roman"/>
        </w:rPr>
        <w:t>level of C</w:t>
      </w:r>
      <w:r w:rsidR="00121D8F" w:rsidRPr="00121D8F">
        <w:rPr>
          <w:rFonts w:cs="Times New Roman"/>
        </w:rPr>
        <w:t xml:space="preserve">ensus </w:t>
      </w:r>
      <w:r w:rsidR="00440C2E">
        <w:rPr>
          <w:rFonts w:cs="Times New Roman"/>
        </w:rPr>
        <w:t>D</w:t>
      </w:r>
      <w:r w:rsidR="00440C2E" w:rsidRPr="00121D8F">
        <w:rPr>
          <w:rFonts w:cs="Times New Roman"/>
        </w:rPr>
        <w:t>ivision</w:t>
      </w:r>
      <w:r w:rsidR="00440C2E">
        <w:rPr>
          <w:rFonts w:cs="Times New Roman"/>
        </w:rPr>
        <w:t>s</w:t>
      </w:r>
      <w:r w:rsidR="00440C2E" w:rsidRPr="00121D8F">
        <w:rPr>
          <w:rFonts w:cs="Times New Roman"/>
        </w:rPr>
        <w:t xml:space="preserve"> </w:t>
      </w:r>
      <w:r w:rsidR="00121D8F" w:rsidRPr="00121D8F">
        <w:rPr>
          <w:rFonts w:cs="Times New Roman"/>
        </w:rPr>
        <w:t xml:space="preserve">and </w:t>
      </w:r>
      <w:r w:rsidR="00440C2E">
        <w:rPr>
          <w:rFonts w:cs="Times New Roman"/>
        </w:rPr>
        <w:t>Census Regions, respectively</w:t>
      </w:r>
      <w:r w:rsidR="00F02EF1">
        <w:rPr>
          <w:rFonts w:cs="Times New Roman"/>
        </w:rPr>
        <w:t xml:space="preserve">. In the agricultural sector, </w:t>
      </w:r>
      <w:r w:rsidR="008977B2">
        <w:rPr>
          <w:rFonts w:cs="Times New Roman"/>
        </w:rPr>
        <w:t xml:space="preserve">demand data </w:t>
      </w:r>
      <w:r w:rsidR="00FA2F35">
        <w:rPr>
          <w:rFonts w:cs="Times New Roman"/>
        </w:rPr>
        <w:t xml:space="preserve">are </w:t>
      </w:r>
      <w:r w:rsidR="008977B2">
        <w:rPr>
          <w:rFonts w:cs="Times New Roman"/>
        </w:rPr>
        <w:t xml:space="preserve">not explicitly reported; instead, </w:t>
      </w:r>
      <w:r w:rsidR="00F02EF1">
        <w:rPr>
          <w:rFonts w:cs="Times New Roman"/>
        </w:rPr>
        <w:t xml:space="preserve">fuel consumption data </w:t>
      </w:r>
      <w:r w:rsidR="00FA2F35">
        <w:rPr>
          <w:rFonts w:cs="Times New Roman"/>
        </w:rPr>
        <w:t xml:space="preserve">are </w:t>
      </w:r>
      <w:r w:rsidR="00F02EF1">
        <w:rPr>
          <w:rFonts w:cs="Times New Roman"/>
        </w:rPr>
        <w:t xml:space="preserve">given at the Farm Production Region </w:t>
      </w:r>
      <w:r w:rsidR="004E6620">
        <w:rPr>
          <w:rFonts w:cs="Times New Roman"/>
        </w:rPr>
        <w:t>level, which consists</w:t>
      </w:r>
      <w:r w:rsidR="00DF4C36">
        <w:rPr>
          <w:rFonts w:cs="Times New Roman"/>
        </w:rPr>
        <w:t xml:space="preserve"> of </w:t>
      </w:r>
      <w:r w:rsidR="00EA67EF">
        <w:rPr>
          <w:rFonts w:cs="Times New Roman"/>
        </w:rPr>
        <w:t xml:space="preserve">groups of between </w:t>
      </w:r>
      <w:r w:rsidR="00655E33">
        <w:rPr>
          <w:rFonts w:cs="Times New Roman"/>
        </w:rPr>
        <w:t xml:space="preserve">six </w:t>
      </w:r>
      <w:r w:rsidR="00EA67EF">
        <w:rPr>
          <w:rFonts w:cs="Times New Roman"/>
        </w:rPr>
        <w:t>and 16 states</w:t>
      </w:r>
      <w:r w:rsidR="00F02EF1">
        <w:rPr>
          <w:rFonts w:cs="Times New Roman"/>
        </w:rPr>
        <w:t>.</w:t>
      </w:r>
      <w:r w:rsidR="00121D8F" w:rsidRPr="00121D8F">
        <w:rPr>
          <w:rFonts w:cs="Times New Roman"/>
        </w:rPr>
        <w:t xml:space="preserve"> </w:t>
      </w:r>
      <w:r w:rsidR="00CA299A">
        <w:rPr>
          <w:rFonts w:cs="Times New Roman"/>
        </w:rPr>
        <w:t>An i</w:t>
      </w:r>
      <w:r w:rsidR="00121D8F" w:rsidRPr="00121D8F">
        <w:rPr>
          <w:rFonts w:cs="Times New Roman"/>
        </w:rPr>
        <w:t>nitial</w:t>
      </w:r>
      <w:r w:rsidR="00FB3E83">
        <w:rPr>
          <w:rFonts w:cs="Times New Roman"/>
        </w:rPr>
        <w:t xml:space="preserve"> unpublished</w:t>
      </w:r>
      <w:r w:rsidR="00121D8F" w:rsidRPr="00121D8F">
        <w:rPr>
          <w:rFonts w:cs="Times New Roman"/>
        </w:rPr>
        <w:t xml:space="preserve"> analysis </w:t>
      </w:r>
      <w:r w:rsidR="007A3654">
        <w:rPr>
          <w:rFonts w:cs="Times New Roman"/>
        </w:rPr>
        <w:t>completed</w:t>
      </w:r>
      <w:r w:rsidR="00D04895">
        <w:rPr>
          <w:rFonts w:cs="Times New Roman"/>
        </w:rPr>
        <w:t xml:space="preserve"> by NREL</w:t>
      </w:r>
      <w:r w:rsidR="007A3654">
        <w:rPr>
          <w:rFonts w:cs="Times New Roman"/>
        </w:rPr>
        <w:t xml:space="preserve"> in </w:t>
      </w:r>
      <w:r w:rsidR="00127BDA">
        <w:rPr>
          <w:rFonts w:cs="Times New Roman"/>
        </w:rPr>
        <w:t>2015</w:t>
      </w:r>
      <w:r w:rsidR="007A3654">
        <w:rPr>
          <w:rFonts w:cs="Times New Roman"/>
        </w:rPr>
        <w:t xml:space="preserve"> </w:t>
      </w:r>
      <w:r w:rsidR="00121D8F" w:rsidRPr="00121D8F">
        <w:rPr>
          <w:rFonts w:cs="Times New Roman"/>
        </w:rPr>
        <w:t xml:space="preserve">was </w:t>
      </w:r>
      <w:r w:rsidR="00121D8F" w:rsidRPr="00121D8F">
        <w:rPr>
          <w:rFonts w:cs="Times New Roman"/>
        </w:rPr>
        <w:lastRenderedPageBreak/>
        <w:t xml:space="preserve">performed at the census division level, </w:t>
      </w:r>
      <w:r w:rsidR="00CA299A">
        <w:rPr>
          <w:rFonts w:cs="Times New Roman"/>
        </w:rPr>
        <w:t xml:space="preserve">which </w:t>
      </w:r>
      <w:r w:rsidR="00121D8F" w:rsidRPr="00121D8F">
        <w:rPr>
          <w:rFonts w:cs="Times New Roman"/>
        </w:rPr>
        <w:t>result</w:t>
      </w:r>
      <w:r w:rsidR="00CA299A">
        <w:rPr>
          <w:rFonts w:cs="Times New Roman"/>
        </w:rPr>
        <w:t>ed</w:t>
      </w:r>
      <w:r w:rsidR="00121D8F" w:rsidRPr="00121D8F">
        <w:rPr>
          <w:rFonts w:cs="Times New Roman"/>
        </w:rPr>
        <w:t xml:space="preserve"> in the </w:t>
      </w:r>
      <w:r w:rsidR="00CA299A">
        <w:rPr>
          <w:rFonts w:cs="Times New Roman"/>
        </w:rPr>
        <w:t xml:space="preserve">very coarse thermal energy </w:t>
      </w:r>
      <w:r w:rsidR="00121D8F" w:rsidRPr="00121D8F">
        <w:rPr>
          <w:rFonts w:cs="Times New Roman"/>
        </w:rPr>
        <w:t xml:space="preserve">demand map shown in </w:t>
      </w:r>
      <w:r w:rsidR="002545C0" w:rsidRPr="002545C0">
        <w:rPr>
          <w:rFonts w:cs="Times New Roman"/>
        </w:rPr>
        <w:fldChar w:fldCharType="begin"/>
      </w:r>
      <w:r w:rsidR="002545C0" w:rsidRPr="002545C0">
        <w:rPr>
          <w:rFonts w:cs="Times New Roman"/>
        </w:rPr>
        <w:instrText xml:space="preserve"> REF _Ref322771663 \h </w:instrText>
      </w:r>
      <w:r w:rsidR="002545C0" w:rsidRPr="002545C0">
        <w:rPr>
          <w:rFonts w:cs="Times New Roman"/>
        </w:rPr>
      </w:r>
      <w:r w:rsidR="002545C0" w:rsidRPr="002545C0">
        <w:rPr>
          <w:rFonts w:cs="Times New Roman"/>
        </w:rPr>
        <w:fldChar w:fldCharType="separate"/>
      </w:r>
      <w:r w:rsidR="00244063" w:rsidRPr="00A15D31">
        <w:rPr>
          <w:rFonts w:cs="Times New Roman"/>
        </w:rPr>
        <w:t xml:space="preserve">Figure </w:t>
      </w:r>
      <w:r w:rsidR="00244063">
        <w:rPr>
          <w:rFonts w:cs="Times New Roman"/>
          <w:noProof/>
        </w:rPr>
        <w:t>2</w:t>
      </w:r>
      <w:r w:rsidR="002545C0" w:rsidRPr="002545C0">
        <w:rPr>
          <w:rFonts w:cs="Times New Roman"/>
        </w:rPr>
        <w:fldChar w:fldCharType="end"/>
      </w:r>
      <w:r w:rsidR="0076164D">
        <w:rPr>
          <w:rFonts w:cs="Times New Roman"/>
        </w:rPr>
        <w:t>.</w:t>
      </w:r>
    </w:p>
    <w:p w14:paraId="27467622" w14:textId="77777777" w:rsidR="00121D8F" w:rsidRPr="00121D8F" w:rsidRDefault="00121D8F" w:rsidP="00121D8F">
      <w:pPr>
        <w:rPr>
          <w:rFonts w:cs="Times New Roman"/>
        </w:rPr>
      </w:pPr>
    </w:p>
    <w:p w14:paraId="552EB24B" w14:textId="77777777" w:rsidR="00121D8F" w:rsidRPr="00121D8F" w:rsidRDefault="00121D8F" w:rsidP="00121D8F">
      <w:pPr>
        <w:rPr>
          <w:rFonts w:cs="Times New Roman"/>
        </w:rPr>
      </w:pPr>
    </w:p>
    <w:p w14:paraId="0FBB41C6" w14:textId="77777777" w:rsidR="00B03F1A" w:rsidRDefault="00121D8F" w:rsidP="00427C94">
      <w:pPr>
        <w:keepNext/>
        <w:jc w:val="center"/>
      </w:pPr>
      <w:r w:rsidRPr="00121D8F">
        <w:rPr>
          <w:rFonts w:cs="Times New Roman"/>
          <w:noProof/>
        </w:rPr>
        <w:drawing>
          <wp:inline distT="0" distB="0" distL="0" distR="0" wp14:anchorId="674B8D0B" wp14:editId="58865E6A">
            <wp:extent cx="5286755" cy="3793124"/>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0" cstate="screen">
                      <a:extLst>
                        <a:ext uri="{28A0092B-C50C-407E-A947-70E740481C1C}">
                          <a14:useLocalDpi xmlns:a14="http://schemas.microsoft.com/office/drawing/2010/main"/>
                        </a:ext>
                      </a:extLst>
                    </a:blip>
                    <a:srcRect t="4156" b="2601"/>
                    <a:stretch/>
                  </pic:blipFill>
                  <pic:spPr>
                    <a:xfrm>
                      <a:off x="0" y="0"/>
                      <a:ext cx="5286755" cy="3793124"/>
                    </a:xfrm>
                    <a:prstGeom prst="rect">
                      <a:avLst/>
                    </a:prstGeom>
                  </pic:spPr>
                </pic:pic>
              </a:graphicData>
            </a:graphic>
          </wp:inline>
        </w:drawing>
      </w:r>
    </w:p>
    <w:p w14:paraId="532F93CD" w14:textId="7B4EF0BF" w:rsidR="00121D8F" w:rsidRPr="00A15D31" w:rsidRDefault="00B03F1A" w:rsidP="009E669B">
      <w:pPr>
        <w:pStyle w:val="Caption"/>
        <w:tabs>
          <w:tab w:val="left" w:pos="1350"/>
        </w:tabs>
        <w:jc w:val="center"/>
        <w:rPr>
          <w:rFonts w:cs="Times New Roman"/>
          <w:color w:val="auto"/>
        </w:rPr>
      </w:pPr>
      <w:bookmarkStart w:id="0" w:name="_Ref322771663"/>
      <w:r w:rsidRPr="00A15D31">
        <w:rPr>
          <w:rFonts w:cs="Times New Roman"/>
          <w:color w:val="auto"/>
        </w:rPr>
        <w:t xml:space="preserve">Figure </w:t>
      </w:r>
      <w:r w:rsidRPr="00A15D31">
        <w:rPr>
          <w:rFonts w:cs="Times New Roman"/>
          <w:color w:val="auto"/>
        </w:rPr>
        <w:fldChar w:fldCharType="begin"/>
      </w:r>
      <w:r w:rsidRPr="00A15D31">
        <w:rPr>
          <w:rFonts w:cs="Times New Roman"/>
          <w:color w:val="auto"/>
        </w:rPr>
        <w:instrText xml:space="preserve"> SEQ Figure \* ARABIC </w:instrText>
      </w:r>
      <w:r w:rsidRPr="00A15D31">
        <w:rPr>
          <w:rFonts w:cs="Times New Roman"/>
          <w:color w:val="auto"/>
        </w:rPr>
        <w:fldChar w:fldCharType="separate"/>
      </w:r>
      <w:r w:rsidR="00244063">
        <w:rPr>
          <w:rFonts w:cs="Times New Roman"/>
          <w:noProof/>
          <w:color w:val="auto"/>
        </w:rPr>
        <w:t>2</w:t>
      </w:r>
      <w:r w:rsidRPr="00A15D31">
        <w:rPr>
          <w:rFonts w:cs="Times New Roman"/>
          <w:color w:val="auto"/>
        </w:rPr>
        <w:fldChar w:fldCharType="end"/>
      </w:r>
      <w:bookmarkEnd w:id="0"/>
      <w:r w:rsidRPr="00A15D31">
        <w:rPr>
          <w:rFonts w:cs="Times New Roman"/>
          <w:color w:val="auto"/>
        </w:rPr>
        <w:t xml:space="preserve">: U.S. Heat Demand. </w:t>
      </w:r>
      <w:r w:rsidRPr="00A15D31">
        <w:rPr>
          <w:rFonts w:cs="Times New Roman"/>
          <w:b w:val="0"/>
          <w:color w:val="auto"/>
        </w:rPr>
        <w:t>Includes residential, commercial, and industrial heat demand. Industrial heat demand for each division was estimated from the region</w:t>
      </w:r>
      <w:r w:rsidR="00FB3E83">
        <w:rPr>
          <w:rFonts w:cs="Times New Roman"/>
          <w:b w:val="0"/>
          <w:color w:val="auto"/>
        </w:rPr>
        <w:t>al</w:t>
      </w:r>
      <w:r w:rsidRPr="00A15D31">
        <w:rPr>
          <w:rFonts w:cs="Times New Roman"/>
          <w:b w:val="0"/>
          <w:color w:val="auto"/>
        </w:rPr>
        <w:t xml:space="preserve"> data based on population.</w:t>
      </w:r>
      <w:r w:rsidR="00CA299A" w:rsidRPr="00A15D31">
        <w:rPr>
          <w:rFonts w:cs="Times New Roman"/>
          <w:b w:val="0"/>
          <w:color w:val="auto"/>
        </w:rPr>
        <w:t xml:space="preserve"> Note that this map does not include estimates of manufacturing </w:t>
      </w:r>
      <w:r w:rsidR="009E669B" w:rsidRPr="009E669B">
        <w:rPr>
          <w:rFonts w:cs="Times New Roman"/>
          <w:b w:val="0"/>
          <w:color w:val="auto"/>
        </w:rPr>
        <w:t>heating/ventilating/air conditioning</w:t>
      </w:r>
      <w:r w:rsidR="00CA299A" w:rsidRPr="00A15D31">
        <w:rPr>
          <w:rFonts w:cs="Times New Roman"/>
          <w:b w:val="0"/>
          <w:color w:val="auto"/>
        </w:rPr>
        <w:t xml:space="preserve"> or any analysis of agriculture, resulting in energy totals less than the ~12 quads reported by EIA</w:t>
      </w:r>
      <w:r w:rsidRPr="00A15D31">
        <w:rPr>
          <w:rFonts w:cs="Times New Roman"/>
          <w:b w:val="0"/>
          <w:color w:val="auto"/>
        </w:rPr>
        <w:t>. Data source: EIA</w:t>
      </w:r>
      <w:r w:rsidR="00FB3E83">
        <w:rPr>
          <w:rFonts w:cs="Times New Roman"/>
          <w:b w:val="0"/>
          <w:color w:val="auto"/>
        </w:rPr>
        <w:t xml:space="preserve"> 2009</w:t>
      </w:r>
      <w:r w:rsidR="009E669B">
        <w:rPr>
          <w:rFonts w:cs="Times New Roman"/>
          <w:b w:val="0"/>
          <w:color w:val="auto"/>
        </w:rPr>
        <w:t xml:space="preserve">, </w:t>
      </w:r>
      <w:r w:rsidR="00FB3E83">
        <w:rPr>
          <w:rFonts w:cs="Times New Roman"/>
          <w:b w:val="0"/>
          <w:color w:val="auto"/>
        </w:rPr>
        <w:t>2010</w:t>
      </w:r>
      <w:r w:rsidR="009E669B">
        <w:rPr>
          <w:rFonts w:cs="Times New Roman"/>
          <w:b w:val="0"/>
          <w:color w:val="auto"/>
        </w:rPr>
        <w:t xml:space="preserve">, </w:t>
      </w:r>
      <w:r w:rsidR="00FB3E83">
        <w:rPr>
          <w:rFonts w:cs="Times New Roman"/>
          <w:b w:val="0"/>
          <w:color w:val="auto"/>
        </w:rPr>
        <w:t>2012.</w:t>
      </w:r>
      <w:r w:rsidRPr="00A15D31">
        <w:rPr>
          <w:rFonts w:cs="Times New Roman"/>
          <w:b w:val="0"/>
          <w:color w:val="auto"/>
        </w:rPr>
        <w:t xml:space="preserve"> Map made by Billy Roberts NREL.</w:t>
      </w:r>
    </w:p>
    <w:p w14:paraId="60D7AF60" w14:textId="2AFF919C" w:rsidR="00121D8F" w:rsidRDefault="009A0F2A" w:rsidP="00121D8F">
      <w:pPr>
        <w:rPr>
          <w:rFonts w:cs="Times New Roman"/>
        </w:rPr>
      </w:pPr>
      <w:r>
        <w:rPr>
          <w:rFonts w:cs="Times New Roman"/>
        </w:rPr>
        <w:t xml:space="preserve">Our interest in the heat demand market is motivated by the potential demand for </w:t>
      </w:r>
      <w:r w:rsidR="00E404CD">
        <w:rPr>
          <w:rFonts w:cs="Times New Roman"/>
        </w:rPr>
        <w:t>DU</w:t>
      </w:r>
      <w:r>
        <w:rPr>
          <w:rFonts w:cs="Times New Roman"/>
        </w:rPr>
        <w:t xml:space="preserve"> of low-temperature (30° to 150°C) geothermal heat. The highly localized variation in the availability and quality of geothermal resources for DU applications</w:t>
      </w:r>
      <w:r w:rsidR="00E404CD">
        <w:rPr>
          <w:rFonts w:cs="Times New Roman"/>
        </w:rPr>
        <w:t>, coupled with limitations on our ability to transport thermal energy long distances,</w:t>
      </w:r>
      <w:r>
        <w:rPr>
          <w:rFonts w:cs="Times New Roman"/>
        </w:rPr>
        <w:t xml:space="preserve"> </w:t>
      </w:r>
      <w:r w:rsidR="00E404CD">
        <w:rPr>
          <w:rFonts w:cs="Times New Roman"/>
        </w:rPr>
        <w:t>necessitates</w:t>
      </w:r>
      <w:r>
        <w:rPr>
          <w:rFonts w:cs="Times New Roman"/>
        </w:rPr>
        <w:t xml:space="preserve"> an equally localized understanding of patterns of thermal demand. Therefore, our initial regional assessment of thermal demand in the </w:t>
      </w:r>
      <w:r w:rsidR="00CF6A92">
        <w:rPr>
          <w:rFonts w:cs="Times New Roman"/>
        </w:rPr>
        <w:t>United States</w:t>
      </w:r>
      <w:r>
        <w:rPr>
          <w:rFonts w:cs="Times New Roman"/>
        </w:rPr>
        <w:t xml:space="preserve"> was insufficient. </w:t>
      </w:r>
      <w:r w:rsidR="00CF6A92">
        <w:rPr>
          <w:rFonts w:cs="Times New Roman"/>
        </w:rPr>
        <w:t>T</w:t>
      </w:r>
      <w:r w:rsidR="00121D8F" w:rsidRPr="00121D8F">
        <w:rPr>
          <w:rFonts w:cs="Times New Roman"/>
        </w:rPr>
        <w:t xml:space="preserve">o capture the full potential of geothermal </w:t>
      </w:r>
      <w:r w:rsidR="00CF6A92">
        <w:rPr>
          <w:rFonts w:cs="Times New Roman"/>
        </w:rPr>
        <w:t>DU</w:t>
      </w:r>
      <w:r w:rsidR="00121D8F" w:rsidRPr="00121D8F">
        <w:rPr>
          <w:rFonts w:cs="Times New Roman"/>
        </w:rPr>
        <w:t xml:space="preserve"> technology, </w:t>
      </w:r>
      <w:r w:rsidR="008B1078">
        <w:rPr>
          <w:rFonts w:cs="Times New Roman"/>
        </w:rPr>
        <w:t xml:space="preserve">we performed an analysis to assess the U.S. demand for low-temperature thermal energy </w:t>
      </w:r>
      <w:r w:rsidR="00E615AC">
        <w:rPr>
          <w:rFonts w:cs="Times New Roman"/>
        </w:rPr>
        <w:t xml:space="preserve">at the county resolution for each of four </w:t>
      </w:r>
      <w:r w:rsidR="008B1078">
        <w:rPr>
          <w:rFonts w:cs="Times New Roman"/>
        </w:rPr>
        <w:t>major end-use sectors: residential buildings, commercial buildings, manufacturing facilities, and agricultural facilities</w:t>
      </w:r>
      <w:r w:rsidR="00417523">
        <w:rPr>
          <w:rFonts w:cs="Times New Roman"/>
        </w:rPr>
        <w:t xml:space="preserve">. </w:t>
      </w:r>
      <w:r w:rsidR="00121D8F" w:rsidRPr="00121D8F">
        <w:rPr>
          <w:rFonts w:cs="Times New Roman"/>
        </w:rPr>
        <w:t xml:space="preserve">This involves looking at each sector individually and </w:t>
      </w:r>
      <w:r w:rsidR="003C630E">
        <w:rPr>
          <w:rFonts w:cs="Times New Roman"/>
        </w:rPr>
        <w:t xml:space="preserve">supplementing </w:t>
      </w:r>
      <w:r w:rsidR="00121D8F" w:rsidRPr="00121D8F">
        <w:rPr>
          <w:rFonts w:cs="Times New Roman"/>
        </w:rPr>
        <w:t xml:space="preserve">the EIA surveys along with </w:t>
      </w:r>
      <w:r w:rsidR="003C630E">
        <w:rPr>
          <w:rFonts w:cs="Times New Roman"/>
        </w:rPr>
        <w:t>additional</w:t>
      </w:r>
      <w:r w:rsidR="003C630E" w:rsidRPr="00121D8F">
        <w:rPr>
          <w:rFonts w:cs="Times New Roman"/>
        </w:rPr>
        <w:t xml:space="preserve"> </w:t>
      </w:r>
      <w:r w:rsidR="00121D8F" w:rsidRPr="00121D8F">
        <w:rPr>
          <w:rFonts w:cs="Times New Roman"/>
        </w:rPr>
        <w:t>data to disaggregate the demand totals to a finer resolution (</w:t>
      </w:r>
      <w:r w:rsidR="00417523">
        <w:rPr>
          <w:rFonts w:cs="Times New Roman"/>
        </w:rPr>
        <w:t xml:space="preserve">e.g., </w:t>
      </w:r>
      <w:r w:rsidR="00121D8F" w:rsidRPr="00121D8F">
        <w:rPr>
          <w:rFonts w:cs="Times New Roman"/>
        </w:rPr>
        <w:t>county level)</w:t>
      </w:r>
      <w:r w:rsidR="00EC0B2C">
        <w:rPr>
          <w:rFonts w:cs="Times New Roman"/>
        </w:rPr>
        <w:t>.</w:t>
      </w:r>
    </w:p>
    <w:p w14:paraId="2E555852" w14:textId="77777777" w:rsidR="00C845F8" w:rsidRDefault="00C845F8" w:rsidP="00121D8F">
      <w:pPr>
        <w:rPr>
          <w:rFonts w:cs="Times New Roman"/>
        </w:rPr>
      </w:pPr>
    </w:p>
    <w:p w14:paraId="051A6302" w14:textId="422F2C8D" w:rsidR="00C23F9D" w:rsidRDefault="00BD6107" w:rsidP="00121D8F">
      <w:pPr>
        <w:rPr>
          <w:rFonts w:cs="Times New Roman"/>
          <w:sz w:val="28"/>
          <w:szCs w:val="28"/>
        </w:rPr>
      </w:pPr>
      <w:r>
        <w:rPr>
          <w:rFonts w:cs="Times New Roman"/>
          <w:b/>
          <w:sz w:val="28"/>
          <w:szCs w:val="28"/>
        </w:rPr>
        <w:t>Datasets</w:t>
      </w:r>
    </w:p>
    <w:p w14:paraId="7418093E" w14:textId="59277C05" w:rsidR="00083788" w:rsidRPr="00C23F9D" w:rsidRDefault="00C23F9D" w:rsidP="00C23F9D">
      <w:pPr>
        <w:rPr>
          <w:rFonts w:cs="Times New Roman"/>
        </w:rPr>
      </w:pPr>
      <w:r w:rsidRPr="00C23F9D">
        <w:rPr>
          <w:rFonts w:cs="Times New Roman"/>
        </w:rPr>
        <w:t xml:space="preserve">For the analyses of the thermal demand in each of the </w:t>
      </w:r>
      <w:r w:rsidR="0010104B">
        <w:rPr>
          <w:rFonts w:cs="Times New Roman"/>
        </w:rPr>
        <w:t>four</w:t>
      </w:r>
      <w:r w:rsidR="0010104B" w:rsidRPr="00C23F9D">
        <w:rPr>
          <w:rFonts w:cs="Times New Roman"/>
        </w:rPr>
        <w:t xml:space="preserve"> </w:t>
      </w:r>
      <w:r w:rsidRPr="00C23F9D">
        <w:rPr>
          <w:rFonts w:cs="Times New Roman"/>
        </w:rPr>
        <w:t>sectors</w:t>
      </w:r>
      <w:r w:rsidR="003141CB">
        <w:rPr>
          <w:rFonts w:cs="Times New Roman"/>
        </w:rPr>
        <w:t>,</w:t>
      </w:r>
      <w:r w:rsidRPr="00C23F9D">
        <w:rPr>
          <w:rFonts w:cs="Times New Roman"/>
        </w:rPr>
        <w:t xml:space="preserve"> we </w:t>
      </w:r>
      <w:r w:rsidR="003C630E">
        <w:rPr>
          <w:rFonts w:cs="Times New Roman"/>
        </w:rPr>
        <w:t xml:space="preserve">started with </w:t>
      </w:r>
      <w:r w:rsidRPr="00C23F9D">
        <w:rPr>
          <w:rFonts w:cs="Times New Roman"/>
        </w:rPr>
        <w:t xml:space="preserve">data from the EIA’s periodic consumption surveys </w:t>
      </w:r>
      <w:r w:rsidR="0010104B">
        <w:rPr>
          <w:rFonts w:cs="Times New Roman"/>
        </w:rPr>
        <w:t xml:space="preserve">as well as sources from the </w:t>
      </w:r>
      <w:r w:rsidR="00F73D2F">
        <w:rPr>
          <w:rFonts w:cs="Times New Roman"/>
        </w:rPr>
        <w:t>U.S. Department of Agriculture (USDA)</w:t>
      </w:r>
      <w:r w:rsidRPr="00C23F9D">
        <w:rPr>
          <w:rFonts w:cs="Times New Roman"/>
        </w:rPr>
        <w:t xml:space="preserve">. </w:t>
      </w:r>
      <w:r w:rsidR="003141CB">
        <w:rPr>
          <w:rFonts w:cs="Times New Roman"/>
        </w:rPr>
        <w:t>S</w:t>
      </w:r>
      <w:r w:rsidRPr="00C23F9D">
        <w:rPr>
          <w:rFonts w:cs="Times New Roman"/>
        </w:rPr>
        <w:t xml:space="preserve">everal other datasets and publications were </w:t>
      </w:r>
      <w:r w:rsidR="003C630E">
        <w:rPr>
          <w:rFonts w:cs="Times New Roman"/>
        </w:rPr>
        <w:t>added</w:t>
      </w:r>
      <w:r w:rsidR="003141CB">
        <w:rPr>
          <w:rFonts w:cs="Times New Roman"/>
        </w:rPr>
        <w:t xml:space="preserve"> to these</w:t>
      </w:r>
      <w:r w:rsidRPr="00C23F9D">
        <w:rPr>
          <w:rFonts w:cs="Times New Roman"/>
        </w:rPr>
        <w:t xml:space="preserve"> to supplement the </w:t>
      </w:r>
      <w:r w:rsidR="00184A7C">
        <w:rPr>
          <w:rFonts w:cs="Times New Roman"/>
        </w:rPr>
        <w:t xml:space="preserve">analysis, as outlined in </w:t>
      </w:r>
      <w:r w:rsidR="00184A7C" w:rsidRPr="00184A7C">
        <w:rPr>
          <w:rFonts w:cs="Times New Roman"/>
        </w:rPr>
        <w:fldChar w:fldCharType="begin"/>
      </w:r>
      <w:r w:rsidR="00184A7C" w:rsidRPr="00184A7C">
        <w:rPr>
          <w:rFonts w:cs="Times New Roman"/>
        </w:rPr>
        <w:instrText xml:space="preserve"> REF _Ref322771715 \h </w:instrText>
      </w:r>
      <w:r w:rsidR="00184A7C" w:rsidRPr="00184A7C">
        <w:rPr>
          <w:rFonts w:cs="Times New Roman"/>
        </w:rPr>
      </w:r>
      <w:r w:rsidR="00184A7C" w:rsidRPr="00184A7C">
        <w:rPr>
          <w:rFonts w:cs="Times New Roman"/>
        </w:rPr>
        <w:fldChar w:fldCharType="separate"/>
      </w:r>
      <w:r w:rsidR="00244063" w:rsidRPr="00A15D31">
        <w:rPr>
          <w:rFonts w:cs="Times New Roman"/>
        </w:rPr>
        <w:t xml:space="preserve">Table </w:t>
      </w:r>
      <w:r w:rsidR="00244063">
        <w:rPr>
          <w:rFonts w:cs="Times New Roman"/>
          <w:noProof/>
        </w:rPr>
        <w:t>1</w:t>
      </w:r>
      <w:r w:rsidR="00184A7C" w:rsidRPr="00184A7C">
        <w:rPr>
          <w:rFonts w:cs="Times New Roman"/>
        </w:rPr>
        <w:fldChar w:fldCharType="end"/>
      </w:r>
      <w:r w:rsidRPr="00C23F9D">
        <w:rPr>
          <w:rFonts w:cs="Times New Roman"/>
        </w:rPr>
        <w:t>, and detailed further below.</w:t>
      </w:r>
    </w:p>
    <w:p w14:paraId="743C041F" w14:textId="1C04951E" w:rsidR="003141CB" w:rsidRDefault="003141CB">
      <w:pPr>
        <w:rPr>
          <w:rFonts w:cs="Times New Roman"/>
          <w:b/>
          <w:bCs/>
          <w:sz w:val="18"/>
          <w:szCs w:val="18"/>
        </w:rPr>
      </w:pPr>
      <w:bookmarkStart w:id="1" w:name="_Ref322771715"/>
    </w:p>
    <w:p w14:paraId="051D0BC6" w14:textId="232ECA3E" w:rsidR="00E319FA" w:rsidRPr="00A15D31" w:rsidRDefault="00E319FA" w:rsidP="00E319FA">
      <w:pPr>
        <w:pStyle w:val="Caption"/>
        <w:keepNext/>
        <w:jc w:val="center"/>
        <w:rPr>
          <w:rFonts w:cs="Times New Roman"/>
          <w:b w:val="0"/>
          <w:color w:val="auto"/>
        </w:rPr>
      </w:pPr>
      <w:r w:rsidRPr="00A15D31">
        <w:rPr>
          <w:rFonts w:cs="Times New Roman"/>
          <w:color w:val="auto"/>
        </w:rPr>
        <w:t xml:space="preserve">Table </w:t>
      </w:r>
      <w:r w:rsidRPr="00A15D31">
        <w:rPr>
          <w:rFonts w:cs="Times New Roman"/>
          <w:color w:val="auto"/>
        </w:rPr>
        <w:fldChar w:fldCharType="begin"/>
      </w:r>
      <w:r w:rsidRPr="00A15D31">
        <w:rPr>
          <w:rFonts w:cs="Times New Roman"/>
          <w:color w:val="auto"/>
        </w:rPr>
        <w:instrText xml:space="preserve"> SEQ Table \* ARABIC </w:instrText>
      </w:r>
      <w:r w:rsidRPr="00A15D31">
        <w:rPr>
          <w:rFonts w:cs="Times New Roman"/>
          <w:color w:val="auto"/>
        </w:rPr>
        <w:fldChar w:fldCharType="separate"/>
      </w:r>
      <w:r w:rsidR="00244063">
        <w:rPr>
          <w:rFonts w:cs="Times New Roman"/>
          <w:noProof/>
          <w:color w:val="auto"/>
        </w:rPr>
        <w:t>1</w:t>
      </w:r>
      <w:r w:rsidRPr="00A15D31">
        <w:rPr>
          <w:rFonts w:cs="Times New Roman"/>
          <w:color w:val="auto"/>
        </w:rPr>
        <w:fldChar w:fldCharType="end"/>
      </w:r>
      <w:bookmarkEnd w:id="1"/>
      <w:r w:rsidR="00594BFE" w:rsidRPr="00A15D31">
        <w:rPr>
          <w:rFonts w:cs="Times New Roman"/>
          <w:color w:val="auto"/>
        </w:rPr>
        <w:t xml:space="preserve">: </w:t>
      </w:r>
      <w:r w:rsidRPr="00A15D31">
        <w:rPr>
          <w:rFonts w:cs="Times New Roman"/>
          <w:b w:val="0"/>
          <w:color w:val="auto"/>
        </w:rPr>
        <w:t xml:space="preserve">Data used in the </w:t>
      </w:r>
      <w:r w:rsidR="009E669B" w:rsidRPr="00A15D31">
        <w:rPr>
          <w:rFonts w:cs="Times New Roman"/>
          <w:b w:val="0"/>
          <w:color w:val="auto"/>
        </w:rPr>
        <w:t>Analysis</w:t>
      </w:r>
      <w:r w:rsidRPr="00A15D31">
        <w:rPr>
          <w:rFonts w:cs="Times New Roman"/>
          <w:b w:val="0"/>
          <w:color w:val="auto"/>
        </w:rPr>
        <w:t xml:space="preserve"> of U.S. Heat Market Demand</w:t>
      </w:r>
    </w:p>
    <w:tbl>
      <w:tblPr>
        <w:tblStyle w:val="TableGrid"/>
        <w:tblW w:w="9378" w:type="dxa"/>
        <w:tblLayout w:type="fixed"/>
        <w:tblLook w:val="04A0" w:firstRow="1" w:lastRow="0" w:firstColumn="1" w:lastColumn="0" w:noHBand="0" w:noVBand="1"/>
      </w:tblPr>
      <w:tblGrid>
        <w:gridCol w:w="1188"/>
        <w:gridCol w:w="2070"/>
        <w:gridCol w:w="1170"/>
        <w:gridCol w:w="1890"/>
        <w:gridCol w:w="3060"/>
      </w:tblGrid>
      <w:tr w:rsidR="00C23F9D" w:rsidRPr="00A143CF" w14:paraId="6F2CB778" w14:textId="77777777" w:rsidTr="003141CB">
        <w:trPr>
          <w:cantSplit/>
          <w:tblHeader/>
        </w:trPr>
        <w:tc>
          <w:tcPr>
            <w:tcW w:w="1188" w:type="dxa"/>
            <w:shd w:val="clear" w:color="auto" w:fill="4F81BD" w:themeFill="accent1"/>
            <w:vAlign w:val="center"/>
          </w:tcPr>
          <w:p w14:paraId="7FADA795" w14:textId="77777777" w:rsidR="00C23F9D" w:rsidRPr="00A143CF" w:rsidRDefault="00C23F9D" w:rsidP="005B11A9">
            <w:pPr>
              <w:jc w:val="center"/>
              <w:rPr>
                <w:rFonts w:ascii="Arial" w:hAnsi="Arial" w:cs="Arial"/>
                <w:b/>
                <w:color w:val="FFFFFF" w:themeColor="background1"/>
                <w:sz w:val="20"/>
                <w:szCs w:val="18"/>
              </w:rPr>
            </w:pPr>
            <w:r w:rsidRPr="00A143CF">
              <w:rPr>
                <w:rFonts w:ascii="Arial" w:hAnsi="Arial" w:cs="Arial"/>
                <w:b/>
                <w:color w:val="FFFFFF" w:themeColor="background1"/>
                <w:sz w:val="20"/>
                <w:szCs w:val="18"/>
              </w:rPr>
              <w:t>Sector</w:t>
            </w:r>
          </w:p>
        </w:tc>
        <w:tc>
          <w:tcPr>
            <w:tcW w:w="2070" w:type="dxa"/>
            <w:shd w:val="clear" w:color="auto" w:fill="4F81BD" w:themeFill="accent1"/>
            <w:vAlign w:val="center"/>
          </w:tcPr>
          <w:p w14:paraId="4402F3CB" w14:textId="77777777" w:rsidR="00C23F9D" w:rsidRPr="00A143CF" w:rsidRDefault="00C23F9D" w:rsidP="005B11A9">
            <w:pPr>
              <w:jc w:val="center"/>
              <w:rPr>
                <w:rFonts w:ascii="Arial" w:hAnsi="Arial" w:cs="Arial"/>
                <w:b/>
                <w:color w:val="FFFFFF" w:themeColor="background1"/>
                <w:sz w:val="20"/>
                <w:szCs w:val="18"/>
              </w:rPr>
            </w:pPr>
            <w:r w:rsidRPr="00A143CF">
              <w:rPr>
                <w:rFonts w:ascii="Arial" w:hAnsi="Arial" w:cs="Arial"/>
                <w:b/>
                <w:color w:val="FFFFFF" w:themeColor="background1"/>
                <w:sz w:val="20"/>
                <w:szCs w:val="18"/>
              </w:rPr>
              <w:t>Source</w:t>
            </w:r>
          </w:p>
        </w:tc>
        <w:tc>
          <w:tcPr>
            <w:tcW w:w="1170" w:type="dxa"/>
            <w:shd w:val="clear" w:color="auto" w:fill="4F81BD" w:themeFill="accent1"/>
            <w:vAlign w:val="center"/>
          </w:tcPr>
          <w:p w14:paraId="404F858B" w14:textId="77777777" w:rsidR="00C23F9D" w:rsidRPr="00A143CF" w:rsidRDefault="00C23F9D" w:rsidP="005B11A9">
            <w:pPr>
              <w:jc w:val="center"/>
              <w:rPr>
                <w:rFonts w:ascii="Arial" w:hAnsi="Arial" w:cs="Arial"/>
                <w:b/>
                <w:color w:val="FFFFFF" w:themeColor="background1"/>
                <w:sz w:val="20"/>
                <w:szCs w:val="18"/>
              </w:rPr>
            </w:pPr>
            <w:r w:rsidRPr="00A143CF">
              <w:rPr>
                <w:rFonts w:ascii="Arial" w:hAnsi="Arial" w:cs="Arial"/>
                <w:b/>
                <w:color w:val="FFFFFF" w:themeColor="background1"/>
                <w:sz w:val="20"/>
                <w:szCs w:val="18"/>
              </w:rPr>
              <w:t>Vintage</w:t>
            </w:r>
          </w:p>
        </w:tc>
        <w:tc>
          <w:tcPr>
            <w:tcW w:w="1890" w:type="dxa"/>
            <w:shd w:val="clear" w:color="auto" w:fill="4F81BD" w:themeFill="accent1"/>
            <w:vAlign w:val="center"/>
          </w:tcPr>
          <w:p w14:paraId="45C2F452" w14:textId="77777777" w:rsidR="00C23F9D" w:rsidRPr="00A143CF" w:rsidRDefault="00C23F9D" w:rsidP="005B11A9">
            <w:pPr>
              <w:jc w:val="center"/>
              <w:rPr>
                <w:rFonts w:ascii="Arial" w:hAnsi="Arial" w:cs="Arial"/>
                <w:b/>
                <w:color w:val="FFFFFF" w:themeColor="background1"/>
                <w:sz w:val="20"/>
                <w:szCs w:val="18"/>
              </w:rPr>
            </w:pPr>
            <w:r w:rsidRPr="00A143CF">
              <w:rPr>
                <w:rFonts w:ascii="Arial" w:hAnsi="Arial" w:cs="Arial"/>
                <w:b/>
                <w:color w:val="FFFFFF" w:themeColor="background1"/>
                <w:sz w:val="20"/>
                <w:szCs w:val="18"/>
              </w:rPr>
              <w:t>Data Available</w:t>
            </w:r>
          </w:p>
        </w:tc>
        <w:tc>
          <w:tcPr>
            <w:tcW w:w="3060" w:type="dxa"/>
            <w:shd w:val="clear" w:color="auto" w:fill="4F81BD" w:themeFill="accent1"/>
            <w:vAlign w:val="center"/>
          </w:tcPr>
          <w:p w14:paraId="6323CAEC" w14:textId="77777777" w:rsidR="00C23F9D" w:rsidRPr="00A143CF" w:rsidRDefault="00C23F9D" w:rsidP="005B11A9">
            <w:pPr>
              <w:jc w:val="center"/>
              <w:rPr>
                <w:rFonts w:ascii="Arial" w:hAnsi="Arial" w:cs="Arial"/>
                <w:b/>
                <w:color w:val="FFFFFF" w:themeColor="background1"/>
                <w:sz w:val="20"/>
                <w:szCs w:val="18"/>
              </w:rPr>
            </w:pPr>
            <w:r w:rsidRPr="00A143CF">
              <w:rPr>
                <w:rFonts w:ascii="Arial" w:hAnsi="Arial" w:cs="Arial"/>
                <w:b/>
                <w:color w:val="FFFFFF" w:themeColor="background1"/>
                <w:sz w:val="20"/>
                <w:szCs w:val="18"/>
              </w:rPr>
              <w:t>Geospatial Resolution</w:t>
            </w:r>
          </w:p>
        </w:tc>
      </w:tr>
      <w:tr w:rsidR="00C23F9D" w:rsidRPr="00A143CF" w14:paraId="44985494" w14:textId="77777777" w:rsidTr="00427C94">
        <w:trPr>
          <w:trHeight w:val="1142"/>
        </w:trPr>
        <w:tc>
          <w:tcPr>
            <w:tcW w:w="1188" w:type="dxa"/>
            <w:vMerge w:val="restart"/>
            <w:vAlign w:val="center"/>
          </w:tcPr>
          <w:p w14:paraId="21875A7A" w14:textId="77777777" w:rsidR="00C23F9D" w:rsidRPr="00A143CF" w:rsidRDefault="00C23F9D" w:rsidP="005B11A9">
            <w:pPr>
              <w:jc w:val="center"/>
              <w:rPr>
                <w:rFonts w:ascii="Arial" w:hAnsi="Arial" w:cs="Arial"/>
                <w:sz w:val="18"/>
                <w:szCs w:val="18"/>
              </w:rPr>
            </w:pPr>
            <w:r w:rsidRPr="00A143CF">
              <w:rPr>
                <w:rFonts w:ascii="Arial" w:hAnsi="Arial" w:cs="Arial"/>
                <w:sz w:val="18"/>
                <w:szCs w:val="18"/>
              </w:rPr>
              <w:t>Residential</w:t>
            </w:r>
          </w:p>
        </w:tc>
        <w:tc>
          <w:tcPr>
            <w:tcW w:w="2070" w:type="dxa"/>
            <w:vAlign w:val="center"/>
          </w:tcPr>
          <w:p w14:paraId="60A6B2BD" w14:textId="1211449D" w:rsidR="00C23F9D" w:rsidRPr="00A143CF" w:rsidRDefault="00C23F9D" w:rsidP="00895631">
            <w:pPr>
              <w:jc w:val="center"/>
              <w:rPr>
                <w:rFonts w:ascii="Arial" w:hAnsi="Arial" w:cs="Arial"/>
                <w:sz w:val="18"/>
                <w:szCs w:val="18"/>
              </w:rPr>
            </w:pPr>
            <w:r w:rsidRPr="00A143CF">
              <w:rPr>
                <w:rFonts w:ascii="Arial" w:hAnsi="Arial" w:cs="Arial"/>
                <w:sz w:val="18"/>
                <w:szCs w:val="18"/>
              </w:rPr>
              <w:t>EIA</w:t>
            </w:r>
          </w:p>
        </w:tc>
        <w:tc>
          <w:tcPr>
            <w:tcW w:w="1170" w:type="dxa"/>
            <w:vAlign w:val="center"/>
          </w:tcPr>
          <w:p w14:paraId="7623F43E" w14:textId="77777777" w:rsidR="00C23F9D" w:rsidRPr="00A143CF" w:rsidRDefault="00C23F9D" w:rsidP="005B11A9">
            <w:pPr>
              <w:jc w:val="center"/>
              <w:rPr>
                <w:rFonts w:ascii="Arial" w:hAnsi="Arial" w:cs="Arial"/>
                <w:b/>
                <w:sz w:val="18"/>
                <w:szCs w:val="18"/>
              </w:rPr>
            </w:pPr>
            <w:r w:rsidRPr="00A143CF">
              <w:rPr>
                <w:rFonts w:ascii="Arial" w:hAnsi="Arial" w:cs="Arial"/>
                <w:b/>
                <w:sz w:val="18"/>
                <w:szCs w:val="18"/>
              </w:rPr>
              <w:t>2009</w:t>
            </w:r>
          </w:p>
        </w:tc>
        <w:tc>
          <w:tcPr>
            <w:tcW w:w="1890" w:type="dxa"/>
            <w:vAlign w:val="center"/>
          </w:tcPr>
          <w:p w14:paraId="5C5DEAD4" w14:textId="0809E395" w:rsidR="00C23F9D" w:rsidRPr="00A143CF" w:rsidRDefault="00C23F9D" w:rsidP="005B11A9">
            <w:pPr>
              <w:jc w:val="center"/>
              <w:rPr>
                <w:rFonts w:ascii="Arial" w:hAnsi="Arial" w:cs="Arial"/>
                <w:sz w:val="18"/>
                <w:szCs w:val="18"/>
              </w:rPr>
            </w:pPr>
            <w:r w:rsidRPr="00A143CF">
              <w:rPr>
                <w:rFonts w:ascii="Arial" w:hAnsi="Arial" w:cs="Arial"/>
                <w:b/>
                <w:sz w:val="18"/>
                <w:szCs w:val="18"/>
              </w:rPr>
              <w:t>Space</w:t>
            </w:r>
            <w:r w:rsidRPr="00A143CF">
              <w:rPr>
                <w:rFonts w:ascii="Arial" w:hAnsi="Arial" w:cs="Arial"/>
                <w:sz w:val="18"/>
                <w:szCs w:val="18"/>
              </w:rPr>
              <w:t xml:space="preserve"> </w:t>
            </w:r>
            <w:r w:rsidR="003C630E" w:rsidRPr="003C630E">
              <w:rPr>
                <w:rFonts w:ascii="Arial" w:hAnsi="Arial" w:cs="Arial"/>
                <w:b/>
                <w:sz w:val="18"/>
                <w:szCs w:val="18"/>
              </w:rPr>
              <w:t>heating</w:t>
            </w:r>
            <w:r w:rsidR="003C630E">
              <w:rPr>
                <w:rFonts w:ascii="Arial" w:hAnsi="Arial" w:cs="Arial"/>
                <w:sz w:val="18"/>
                <w:szCs w:val="18"/>
              </w:rPr>
              <w:t xml:space="preserve"> </w:t>
            </w:r>
            <w:r w:rsidRPr="00A143CF">
              <w:rPr>
                <w:rFonts w:ascii="Arial" w:hAnsi="Arial" w:cs="Arial"/>
                <w:sz w:val="18"/>
                <w:szCs w:val="18"/>
              </w:rPr>
              <w:t xml:space="preserve">and </w:t>
            </w:r>
            <w:r w:rsidRPr="00A143CF">
              <w:rPr>
                <w:rFonts w:ascii="Arial" w:hAnsi="Arial" w:cs="Arial"/>
                <w:b/>
                <w:sz w:val="18"/>
                <w:szCs w:val="18"/>
              </w:rPr>
              <w:t>water</w:t>
            </w:r>
            <w:r w:rsidRPr="00A143CF">
              <w:rPr>
                <w:rFonts w:ascii="Arial" w:hAnsi="Arial" w:cs="Arial"/>
                <w:sz w:val="18"/>
                <w:szCs w:val="18"/>
              </w:rPr>
              <w:t xml:space="preserve"> </w:t>
            </w:r>
            <w:r w:rsidRPr="00A143CF">
              <w:rPr>
                <w:rFonts w:ascii="Arial" w:hAnsi="Arial" w:cs="Arial"/>
                <w:b/>
                <w:sz w:val="18"/>
                <w:szCs w:val="18"/>
              </w:rPr>
              <w:t>heating</w:t>
            </w:r>
            <w:r w:rsidRPr="00A143CF">
              <w:rPr>
                <w:rFonts w:ascii="Arial" w:hAnsi="Arial" w:cs="Arial"/>
                <w:sz w:val="18"/>
                <w:szCs w:val="18"/>
              </w:rPr>
              <w:t xml:space="preserve"> demand totals</w:t>
            </w:r>
          </w:p>
        </w:tc>
        <w:tc>
          <w:tcPr>
            <w:tcW w:w="3060" w:type="dxa"/>
            <w:vAlign w:val="center"/>
          </w:tcPr>
          <w:p w14:paraId="1A06AE0B" w14:textId="76D965CE" w:rsidR="00C23F9D" w:rsidRPr="00A143CF" w:rsidRDefault="00C23F9D" w:rsidP="005B11A9">
            <w:pPr>
              <w:jc w:val="center"/>
              <w:rPr>
                <w:rFonts w:ascii="Arial" w:hAnsi="Arial" w:cs="Arial"/>
                <w:sz w:val="18"/>
                <w:szCs w:val="18"/>
              </w:rPr>
            </w:pPr>
            <w:r w:rsidRPr="00A143CF">
              <w:rPr>
                <w:rFonts w:ascii="Arial" w:hAnsi="Arial" w:cs="Arial"/>
                <w:b/>
                <w:sz w:val="18"/>
                <w:szCs w:val="18"/>
              </w:rPr>
              <w:t>Reportable domain</w:t>
            </w:r>
            <w:r w:rsidRPr="00A143CF">
              <w:rPr>
                <w:rFonts w:ascii="Arial" w:hAnsi="Arial" w:cs="Arial"/>
                <w:sz w:val="18"/>
                <w:szCs w:val="18"/>
              </w:rPr>
              <w:t xml:space="preserve"> – individual states or aggregates of states (27 total domains)</w:t>
            </w:r>
          </w:p>
          <w:p w14:paraId="0D4FAC79" w14:textId="77777777" w:rsidR="00C23F9D" w:rsidRPr="00A143CF" w:rsidRDefault="00C23F9D" w:rsidP="005B11A9">
            <w:pPr>
              <w:jc w:val="center"/>
              <w:rPr>
                <w:rFonts w:ascii="Arial" w:hAnsi="Arial" w:cs="Arial"/>
                <w:sz w:val="18"/>
                <w:szCs w:val="18"/>
              </w:rPr>
            </w:pPr>
            <w:r w:rsidRPr="00A143CF">
              <w:rPr>
                <w:rFonts w:ascii="Arial" w:hAnsi="Arial" w:cs="Arial"/>
                <w:b/>
                <w:sz w:val="18"/>
                <w:szCs w:val="18"/>
              </w:rPr>
              <w:t>Climate regions</w:t>
            </w:r>
            <w:r w:rsidRPr="00A143CF">
              <w:rPr>
                <w:rFonts w:ascii="Arial" w:hAnsi="Arial" w:cs="Arial"/>
                <w:sz w:val="18"/>
                <w:szCs w:val="18"/>
              </w:rPr>
              <w:t xml:space="preserve"> – residential entries categorized based on geographical location</w:t>
            </w:r>
          </w:p>
        </w:tc>
      </w:tr>
      <w:tr w:rsidR="00C23F9D" w:rsidRPr="00A143CF" w14:paraId="14EFB293" w14:textId="77777777" w:rsidTr="00427C94">
        <w:tc>
          <w:tcPr>
            <w:tcW w:w="1188" w:type="dxa"/>
            <w:vMerge/>
            <w:vAlign w:val="center"/>
          </w:tcPr>
          <w:p w14:paraId="22F19B91" w14:textId="77777777" w:rsidR="00C23F9D" w:rsidRPr="00A143CF" w:rsidRDefault="00C23F9D" w:rsidP="005B11A9">
            <w:pPr>
              <w:jc w:val="center"/>
              <w:rPr>
                <w:rFonts w:ascii="Arial" w:hAnsi="Arial" w:cs="Arial"/>
                <w:sz w:val="18"/>
                <w:szCs w:val="18"/>
              </w:rPr>
            </w:pPr>
          </w:p>
        </w:tc>
        <w:tc>
          <w:tcPr>
            <w:tcW w:w="2070" w:type="dxa"/>
            <w:vAlign w:val="center"/>
          </w:tcPr>
          <w:p w14:paraId="29E9CF70" w14:textId="77777777" w:rsidR="00C23F9D" w:rsidRPr="00A143CF" w:rsidRDefault="00C23F9D" w:rsidP="005B11A9">
            <w:pPr>
              <w:jc w:val="center"/>
              <w:rPr>
                <w:rFonts w:ascii="Arial" w:hAnsi="Arial" w:cs="Arial"/>
                <w:sz w:val="18"/>
                <w:szCs w:val="18"/>
              </w:rPr>
            </w:pPr>
            <w:r w:rsidRPr="00A143CF">
              <w:rPr>
                <w:rFonts w:ascii="Arial" w:hAnsi="Arial" w:cs="Arial"/>
                <w:sz w:val="18"/>
                <w:szCs w:val="18"/>
              </w:rPr>
              <w:t>U.S. Census Bureau – American Community Survey (ACS)</w:t>
            </w:r>
          </w:p>
        </w:tc>
        <w:tc>
          <w:tcPr>
            <w:tcW w:w="1170" w:type="dxa"/>
            <w:vAlign w:val="center"/>
          </w:tcPr>
          <w:p w14:paraId="09C7B34A" w14:textId="0D237BBC" w:rsidR="00C23F9D" w:rsidRPr="00A143CF" w:rsidRDefault="00C23F9D" w:rsidP="009E669B">
            <w:pPr>
              <w:jc w:val="center"/>
              <w:rPr>
                <w:rFonts w:ascii="Arial" w:hAnsi="Arial" w:cs="Arial"/>
                <w:sz w:val="18"/>
                <w:szCs w:val="18"/>
              </w:rPr>
            </w:pPr>
            <w:r w:rsidRPr="00A143CF">
              <w:rPr>
                <w:rFonts w:ascii="Arial" w:hAnsi="Arial" w:cs="Arial"/>
                <w:b/>
                <w:sz w:val="18"/>
                <w:szCs w:val="18"/>
              </w:rPr>
              <w:t>2009</w:t>
            </w:r>
            <w:r w:rsidR="009E669B">
              <w:rPr>
                <w:rFonts w:ascii="Arial" w:hAnsi="Arial" w:cs="Arial"/>
                <w:b/>
                <w:sz w:val="18"/>
                <w:szCs w:val="18"/>
              </w:rPr>
              <w:t>–</w:t>
            </w:r>
            <w:r w:rsidRPr="00A143CF">
              <w:rPr>
                <w:rFonts w:ascii="Arial" w:hAnsi="Arial" w:cs="Arial"/>
                <w:b/>
                <w:sz w:val="18"/>
                <w:szCs w:val="18"/>
              </w:rPr>
              <w:t>2013</w:t>
            </w:r>
            <w:r w:rsidRPr="00A143CF">
              <w:rPr>
                <w:rFonts w:ascii="Arial" w:hAnsi="Arial" w:cs="Arial"/>
                <w:sz w:val="18"/>
                <w:szCs w:val="18"/>
              </w:rPr>
              <w:t xml:space="preserve"> (5-year survey)</w:t>
            </w:r>
          </w:p>
        </w:tc>
        <w:tc>
          <w:tcPr>
            <w:tcW w:w="1890" w:type="dxa"/>
            <w:vAlign w:val="center"/>
          </w:tcPr>
          <w:p w14:paraId="4D35C8D1" w14:textId="025D2CA1" w:rsidR="00C23F9D" w:rsidRPr="00A143CF" w:rsidRDefault="00C23F9D" w:rsidP="00895631">
            <w:pPr>
              <w:jc w:val="center"/>
              <w:rPr>
                <w:rFonts w:ascii="Arial" w:hAnsi="Arial" w:cs="Arial"/>
                <w:sz w:val="18"/>
                <w:szCs w:val="18"/>
              </w:rPr>
            </w:pPr>
            <w:r w:rsidRPr="00A143CF">
              <w:rPr>
                <w:rFonts w:ascii="Arial" w:hAnsi="Arial" w:cs="Arial"/>
                <w:b/>
                <w:sz w:val="18"/>
                <w:szCs w:val="18"/>
              </w:rPr>
              <w:t>Housing unit totals</w:t>
            </w:r>
            <w:r w:rsidRPr="00A143CF">
              <w:rPr>
                <w:rFonts w:ascii="Arial" w:hAnsi="Arial" w:cs="Arial"/>
                <w:sz w:val="18"/>
                <w:szCs w:val="18"/>
              </w:rPr>
              <w:t xml:space="preserve"> for each county in the U</w:t>
            </w:r>
            <w:r w:rsidR="00895631">
              <w:rPr>
                <w:rFonts w:ascii="Arial" w:hAnsi="Arial" w:cs="Arial"/>
                <w:sz w:val="18"/>
                <w:szCs w:val="18"/>
              </w:rPr>
              <w:t xml:space="preserve">nited </w:t>
            </w:r>
            <w:r w:rsidRPr="00A143CF">
              <w:rPr>
                <w:rFonts w:ascii="Arial" w:hAnsi="Arial" w:cs="Arial"/>
                <w:sz w:val="18"/>
                <w:szCs w:val="18"/>
              </w:rPr>
              <w:t>S</w:t>
            </w:r>
            <w:r w:rsidR="00895631">
              <w:rPr>
                <w:rFonts w:ascii="Arial" w:hAnsi="Arial" w:cs="Arial"/>
                <w:sz w:val="18"/>
                <w:szCs w:val="18"/>
              </w:rPr>
              <w:t>tates</w:t>
            </w:r>
          </w:p>
        </w:tc>
        <w:tc>
          <w:tcPr>
            <w:tcW w:w="3060" w:type="dxa"/>
            <w:vAlign w:val="center"/>
          </w:tcPr>
          <w:p w14:paraId="2365D6D7" w14:textId="77777777" w:rsidR="00C23F9D" w:rsidRPr="00A143CF" w:rsidRDefault="00C23F9D" w:rsidP="005B11A9">
            <w:pPr>
              <w:jc w:val="center"/>
              <w:rPr>
                <w:rFonts w:ascii="Arial" w:hAnsi="Arial" w:cs="Arial"/>
                <w:b/>
                <w:sz w:val="18"/>
                <w:szCs w:val="18"/>
              </w:rPr>
            </w:pPr>
            <w:r w:rsidRPr="00A143CF">
              <w:rPr>
                <w:rFonts w:ascii="Arial" w:hAnsi="Arial" w:cs="Arial"/>
                <w:b/>
                <w:sz w:val="18"/>
                <w:szCs w:val="18"/>
              </w:rPr>
              <w:t>County level</w:t>
            </w:r>
          </w:p>
        </w:tc>
      </w:tr>
      <w:tr w:rsidR="00C23F9D" w:rsidRPr="00A143CF" w14:paraId="5DC72066" w14:textId="77777777" w:rsidTr="00427C94">
        <w:tc>
          <w:tcPr>
            <w:tcW w:w="1188" w:type="dxa"/>
            <w:vMerge w:val="restart"/>
            <w:vAlign w:val="center"/>
          </w:tcPr>
          <w:p w14:paraId="4AA27B48" w14:textId="77777777" w:rsidR="00C23F9D" w:rsidRPr="00A143CF" w:rsidRDefault="00C23F9D" w:rsidP="005B11A9">
            <w:pPr>
              <w:jc w:val="center"/>
              <w:rPr>
                <w:rFonts w:ascii="Arial" w:hAnsi="Arial" w:cs="Arial"/>
                <w:sz w:val="18"/>
                <w:szCs w:val="18"/>
              </w:rPr>
            </w:pPr>
            <w:r w:rsidRPr="00A143CF">
              <w:rPr>
                <w:rFonts w:ascii="Arial" w:hAnsi="Arial" w:cs="Arial"/>
                <w:sz w:val="18"/>
                <w:szCs w:val="18"/>
              </w:rPr>
              <w:t>Commercial</w:t>
            </w:r>
          </w:p>
        </w:tc>
        <w:tc>
          <w:tcPr>
            <w:tcW w:w="2070" w:type="dxa"/>
            <w:vAlign w:val="center"/>
          </w:tcPr>
          <w:p w14:paraId="566056BE" w14:textId="68E7A502" w:rsidR="00C23F9D" w:rsidRPr="00A143CF" w:rsidRDefault="00C23F9D" w:rsidP="00895631">
            <w:pPr>
              <w:jc w:val="center"/>
              <w:rPr>
                <w:rFonts w:ascii="Arial" w:hAnsi="Arial" w:cs="Arial"/>
                <w:sz w:val="18"/>
                <w:szCs w:val="18"/>
              </w:rPr>
            </w:pPr>
            <w:r w:rsidRPr="00A143CF">
              <w:rPr>
                <w:rFonts w:ascii="Arial" w:hAnsi="Arial" w:cs="Arial"/>
                <w:sz w:val="18"/>
                <w:szCs w:val="18"/>
              </w:rPr>
              <w:t>EIA</w:t>
            </w:r>
          </w:p>
        </w:tc>
        <w:tc>
          <w:tcPr>
            <w:tcW w:w="1170" w:type="dxa"/>
            <w:vAlign w:val="center"/>
          </w:tcPr>
          <w:p w14:paraId="35BDA89F" w14:textId="20C6C3DF" w:rsidR="00C23F9D" w:rsidRPr="00A143CF" w:rsidRDefault="00C23F9D" w:rsidP="009A79D1">
            <w:pPr>
              <w:jc w:val="center"/>
              <w:rPr>
                <w:rFonts w:ascii="Arial" w:hAnsi="Arial" w:cs="Arial"/>
                <w:sz w:val="18"/>
                <w:szCs w:val="18"/>
              </w:rPr>
            </w:pPr>
            <w:r w:rsidRPr="009A79D1">
              <w:rPr>
                <w:rFonts w:ascii="Arial" w:hAnsi="Arial" w:cs="Arial"/>
                <w:b/>
                <w:sz w:val="18"/>
                <w:szCs w:val="18"/>
              </w:rPr>
              <w:t>2003</w:t>
            </w:r>
            <w:r w:rsidR="009A79D1" w:rsidRPr="009A79D1">
              <w:rPr>
                <w:rFonts w:ascii="Arial" w:hAnsi="Arial" w:cs="Arial"/>
                <w:b/>
                <w:sz w:val="18"/>
                <w:szCs w:val="18"/>
              </w:rPr>
              <w:t xml:space="preserve"> &amp; 2012</w:t>
            </w:r>
          </w:p>
        </w:tc>
        <w:tc>
          <w:tcPr>
            <w:tcW w:w="1890" w:type="dxa"/>
            <w:vAlign w:val="center"/>
          </w:tcPr>
          <w:p w14:paraId="47FABCB8" w14:textId="5B44679D" w:rsidR="00C23F9D" w:rsidRPr="00A143CF" w:rsidRDefault="00C23F9D" w:rsidP="005B11A9">
            <w:pPr>
              <w:jc w:val="center"/>
              <w:rPr>
                <w:rFonts w:ascii="Arial" w:hAnsi="Arial" w:cs="Arial"/>
                <w:sz w:val="18"/>
                <w:szCs w:val="18"/>
              </w:rPr>
            </w:pPr>
            <w:r w:rsidRPr="00A143CF">
              <w:rPr>
                <w:rFonts w:ascii="Arial" w:hAnsi="Arial" w:cs="Arial"/>
                <w:b/>
                <w:sz w:val="18"/>
                <w:szCs w:val="18"/>
              </w:rPr>
              <w:t>Space</w:t>
            </w:r>
            <w:r w:rsidRPr="00A143CF">
              <w:rPr>
                <w:rFonts w:ascii="Arial" w:hAnsi="Arial" w:cs="Arial"/>
                <w:sz w:val="18"/>
                <w:szCs w:val="18"/>
              </w:rPr>
              <w:t xml:space="preserve"> </w:t>
            </w:r>
            <w:r w:rsidR="003C630E" w:rsidRPr="003C630E">
              <w:rPr>
                <w:rFonts w:ascii="Arial" w:hAnsi="Arial" w:cs="Arial"/>
                <w:b/>
                <w:sz w:val="18"/>
                <w:szCs w:val="18"/>
              </w:rPr>
              <w:t>heating</w:t>
            </w:r>
            <w:r w:rsidR="003C630E" w:rsidRPr="00A143CF">
              <w:rPr>
                <w:rFonts w:ascii="Arial" w:hAnsi="Arial" w:cs="Arial"/>
                <w:sz w:val="18"/>
                <w:szCs w:val="18"/>
              </w:rPr>
              <w:t xml:space="preserve"> </w:t>
            </w:r>
            <w:r w:rsidRPr="00A143CF">
              <w:rPr>
                <w:rFonts w:ascii="Arial" w:hAnsi="Arial" w:cs="Arial"/>
                <w:sz w:val="18"/>
                <w:szCs w:val="18"/>
              </w:rPr>
              <w:t xml:space="preserve">and </w:t>
            </w:r>
            <w:r w:rsidRPr="00A143CF">
              <w:rPr>
                <w:rFonts w:ascii="Arial" w:hAnsi="Arial" w:cs="Arial"/>
                <w:b/>
                <w:sz w:val="18"/>
                <w:szCs w:val="18"/>
              </w:rPr>
              <w:t>water heating</w:t>
            </w:r>
            <w:r w:rsidRPr="00A143CF">
              <w:rPr>
                <w:rFonts w:ascii="Arial" w:hAnsi="Arial" w:cs="Arial"/>
                <w:sz w:val="18"/>
                <w:szCs w:val="18"/>
              </w:rPr>
              <w:t xml:space="preserve"> demand totals</w:t>
            </w:r>
          </w:p>
        </w:tc>
        <w:tc>
          <w:tcPr>
            <w:tcW w:w="3060" w:type="dxa"/>
            <w:vAlign w:val="center"/>
          </w:tcPr>
          <w:p w14:paraId="7926BA54" w14:textId="664616E3" w:rsidR="00C23F9D" w:rsidRPr="00A143CF" w:rsidRDefault="00C23F9D" w:rsidP="00895631">
            <w:pPr>
              <w:jc w:val="center"/>
              <w:rPr>
                <w:rFonts w:ascii="Arial" w:hAnsi="Arial" w:cs="Arial"/>
                <w:sz w:val="18"/>
                <w:szCs w:val="18"/>
              </w:rPr>
            </w:pPr>
            <w:r w:rsidRPr="00A143CF">
              <w:rPr>
                <w:rFonts w:ascii="Arial" w:hAnsi="Arial" w:cs="Arial"/>
                <w:b/>
                <w:sz w:val="18"/>
                <w:szCs w:val="18"/>
              </w:rPr>
              <w:t>Census division</w:t>
            </w:r>
            <w:r w:rsidRPr="00A143CF">
              <w:rPr>
                <w:rFonts w:ascii="Arial" w:hAnsi="Arial" w:cs="Arial"/>
                <w:sz w:val="18"/>
                <w:szCs w:val="18"/>
              </w:rPr>
              <w:t xml:space="preserve"> – Nine total divisions in the U</w:t>
            </w:r>
            <w:r w:rsidR="00895631">
              <w:rPr>
                <w:rFonts w:ascii="Arial" w:hAnsi="Arial" w:cs="Arial"/>
                <w:sz w:val="18"/>
                <w:szCs w:val="18"/>
              </w:rPr>
              <w:t xml:space="preserve">nited </w:t>
            </w:r>
            <w:r w:rsidRPr="00A143CF">
              <w:rPr>
                <w:rFonts w:ascii="Arial" w:hAnsi="Arial" w:cs="Arial"/>
                <w:sz w:val="18"/>
                <w:szCs w:val="18"/>
              </w:rPr>
              <w:t>S</w:t>
            </w:r>
            <w:r w:rsidR="00895631">
              <w:rPr>
                <w:rFonts w:ascii="Arial" w:hAnsi="Arial" w:cs="Arial"/>
                <w:sz w:val="18"/>
                <w:szCs w:val="18"/>
              </w:rPr>
              <w:t>tates</w:t>
            </w:r>
            <w:r w:rsidRPr="00A143CF">
              <w:rPr>
                <w:rFonts w:ascii="Arial" w:hAnsi="Arial" w:cs="Arial"/>
                <w:sz w:val="18"/>
                <w:szCs w:val="18"/>
              </w:rPr>
              <w:t>, each consisting of between three and eight states</w:t>
            </w:r>
          </w:p>
        </w:tc>
      </w:tr>
      <w:tr w:rsidR="00C23F9D" w:rsidRPr="00A143CF" w14:paraId="0EF43113" w14:textId="77777777" w:rsidTr="00427C94">
        <w:tc>
          <w:tcPr>
            <w:tcW w:w="1188" w:type="dxa"/>
            <w:vMerge/>
            <w:vAlign w:val="center"/>
          </w:tcPr>
          <w:p w14:paraId="3B32DADF" w14:textId="77777777" w:rsidR="00C23F9D" w:rsidRPr="00A143CF" w:rsidRDefault="00C23F9D" w:rsidP="005B11A9">
            <w:pPr>
              <w:jc w:val="center"/>
              <w:rPr>
                <w:rFonts w:ascii="Arial" w:hAnsi="Arial" w:cs="Arial"/>
                <w:sz w:val="18"/>
                <w:szCs w:val="18"/>
              </w:rPr>
            </w:pPr>
          </w:p>
        </w:tc>
        <w:tc>
          <w:tcPr>
            <w:tcW w:w="2070" w:type="dxa"/>
            <w:vAlign w:val="center"/>
          </w:tcPr>
          <w:p w14:paraId="2903737B" w14:textId="77777777" w:rsidR="00C23F9D" w:rsidRPr="00A143CF" w:rsidRDefault="00C23F9D" w:rsidP="005B11A9">
            <w:pPr>
              <w:jc w:val="center"/>
              <w:rPr>
                <w:rFonts w:ascii="Arial" w:hAnsi="Arial" w:cs="Arial"/>
                <w:sz w:val="18"/>
                <w:szCs w:val="18"/>
              </w:rPr>
            </w:pPr>
            <w:r w:rsidRPr="00A143CF">
              <w:rPr>
                <w:rFonts w:ascii="Arial" w:hAnsi="Arial" w:cs="Arial"/>
                <w:sz w:val="18"/>
                <w:szCs w:val="18"/>
              </w:rPr>
              <w:t>Federal Emergency Management Agency (FEMA)</w:t>
            </w:r>
          </w:p>
        </w:tc>
        <w:tc>
          <w:tcPr>
            <w:tcW w:w="1170" w:type="dxa"/>
            <w:vAlign w:val="center"/>
          </w:tcPr>
          <w:p w14:paraId="047200B1" w14:textId="77777777" w:rsidR="00C23F9D" w:rsidRPr="00A143CF" w:rsidRDefault="00C23F9D" w:rsidP="005B11A9">
            <w:pPr>
              <w:jc w:val="center"/>
              <w:rPr>
                <w:rFonts w:ascii="Arial" w:hAnsi="Arial" w:cs="Arial"/>
                <w:sz w:val="18"/>
                <w:szCs w:val="18"/>
              </w:rPr>
            </w:pPr>
            <w:r w:rsidRPr="00A143CF">
              <w:rPr>
                <w:rFonts w:ascii="Arial" w:hAnsi="Arial" w:cs="Arial"/>
                <w:b/>
                <w:sz w:val="18"/>
                <w:szCs w:val="18"/>
              </w:rPr>
              <w:t>2013</w:t>
            </w:r>
          </w:p>
        </w:tc>
        <w:tc>
          <w:tcPr>
            <w:tcW w:w="1890" w:type="dxa"/>
            <w:vAlign w:val="center"/>
          </w:tcPr>
          <w:p w14:paraId="249132F6" w14:textId="77777777" w:rsidR="00C23F9D" w:rsidRPr="00A143CF" w:rsidRDefault="00C23F9D" w:rsidP="005B11A9">
            <w:pPr>
              <w:jc w:val="center"/>
              <w:rPr>
                <w:rFonts w:ascii="Arial" w:hAnsi="Arial" w:cs="Arial"/>
                <w:sz w:val="18"/>
                <w:szCs w:val="18"/>
              </w:rPr>
            </w:pPr>
            <w:r w:rsidRPr="00A143CF">
              <w:rPr>
                <w:rFonts w:ascii="Arial" w:hAnsi="Arial" w:cs="Arial"/>
                <w:b/>
                <w:sz w:val="18"/>
                <w:szCs w:val="18"/>
              </w:rPr>
              <w:t>Total area (sq. ft.)</w:t>
            </w:r>
            <w:r w:rsidRPr="00A143CF">
              <w:rPr>
                <w:rFonts w:ascii="Arial" w:hAnsi="Arial" w:cs="Arial"/>
                <w:sz w:val="18"/>
                <w:szCs w:val="18"/>
              </w:rPr>
              <w:t xml:space="preserve"> of each building type for each county</w:t>
            </w:r>
          </w:p>
        </w:tc>
        <w:tc>
          <w:tcPr>
            <w:tcW w:w="3060" w:type="dxa"/>
            <w:vAlign w:val="center"/>
          </w:tcPr>
          <w:p w14:paraId="715CC4BB" w14:textId="77777777" w:rsidR="00C23F9D" w:rsidRPr="00A143CF" w:rsidRDefault="00C23F9D" w:rsidP="005B11A9">
            <w:pPr>
              <w:jc w:val="center"/>
              <w:rPr>
                <w:rFonts w:ascii="Arial" w:hAnsi="Arial" w:cs="Arial"/>
                <w:b/>
                <w:sz w:val="18"/>
                <w:szCs w:val="18"/>
              </w:rPr>
            </w:pPr>
            <w:r w:rsidRPr="00A143CF">
              <w:rPr>
                <w:rFonts w:ascii="Arial" w:hAnsi="Arial" w:cs="Arial"/>
                <w:b/>
                <w:sz w:val="18"/>
                <w:szCs w:val="18"/>
              </w:rPr>
              <w:t>County level</w:t>
            </w:r>
          </w:p>
        </w:tc>
      </w:tr>
      <w:tr w:rsidR="00A5520E" w:rsidRPr="00A143CF" w14:paraId="0D15D8CA" w14:textId="77777777" w:rsidTr="00427C94">
        <w:trPr>
          <w:trHeight w:val="1070"/>
        </w:trPr>
        <w:tc>
          <w:tcPr>
            <w:tcW w:w="1188" w:type="dxa"/>
            <w:vMerge w:val="restart"/>
            <w:vAlign w:val="center"/>
          </w:tcPr>
          <w:p w14:paraId="490B522F" w14:textId="77777777" w:rsidR="00A5520E" w:rsidRPr="00A143CF" w:rsidRDefault="00A5520E" w:rsidP="005B11A9">
            <w:pPr>
              <w:jc w:val="center"/>
              <w:rPr>
                <w:rFonts w:ascii="Arial" w:hAnsi="Arial" w:cs="Arial"/>
                <w:sz w:val="18"/>
                <w:szCs w:val="18"/>
              </w:rPr>
            </w:pPr>
            <w:r w:rsidRPr="00A143CF">
              <w:rPr>
                <w:rFonts w:ascii="Arial" w:hAnsi="Arial" w:cs="Arial"/>
                <w:sz w:val="18"/>
                <w:szCs w:val="18"/>
              </w:rPr>
              <w:t>Industrial</w:t>
            </w:r>
          </w:p>
        </w:tc>
        <w:tc>
          <w:tcPr>
            <w:tcW w:w="2070" w:type="dxa"/>
            <w:vAlign w:val="center"/>
          </w:tcPr>
          <w:p w14:paraId="525CBC53" w14:textId="5A9FACA0" w:rsidR="00A5520E" w:rsidRPr="00A143CF" w:rsidRDefault="00A5520E" w:rsidP="00895631">
            <w:pPr>
              <w:jc w:val="center"/>
              <w:rPr>
                <w:rFonts w:ascii="Arial" w:hAnsi="Arial" w:cs="Arial"/>
                <w:sz w:val="18"/>
                <w:szCs w:val="18"/>
              </w:rPr>
            </w:pPr>
            <w:r w:rsidRPr="00A143CF">
              <w:rPr>
                <w:rFonts w:ascii="Arial" w:hAnsi="Arial" w:cs="Arial"/>
                <w:sz w:val="18"/>
                <w:szCs w:val="18"/>
              </w:rPr>
              <w:t>EIA</w:t>
            </w:r>
          </w:p>
        </w:tc>
        <w:tc>
          <w:tcPr>
            <w:tcW w:w="1170" w:type="dxa"/>
            <w:vAlign w:val="center"/>
          </w:tcPr>
          <w:p w14:paraId="4AB1A188" w14:textId="77777777" w:rsidR="00A5520E" w:rsidRPr="00A143CF" w:rsidRDefault="00A5520E" w:rsidP="005B11A9">
            <w:pPr>
              <w:jc w:val="center"/>
              <w:rPr>
                <w:rFonts w:ascii="Arial" w:hAnsi="Arial" w:cs="Arial"/>
                <w:b/>
                <w:sz w:val="18"/>
                <w:szCs w:val="18"/>
              </w:rPr>
            </w:pPr>
            <w:r w:rsidRPr="00A143CF">
              <w:rPr>
                <w:rFonts w:ascii="Arial" w:hAnsi="Arial" w:cs="Arial"/>
                <w:b/>
                <w:sz w:val="18"/>
                <w:szCs w:val="18"/>
              </w:rPr>
              <w:t>2010</w:t>
            </w:r>
          </w:p>
        </w:tc>
        <w:tc>
          <w:tcPr>
            <w:tcW w:w="1890" w:type="dxa"/>
            <w:vAlign w:val="center"/>
          </w:tcPr>
          <w:p w14:paraId="1B8EAF08" w14:textId="6A47CB1F" w:rsidR="00A5520E" w:rsidRPr="00A143CF" w:rsidRDefault="00A5520E" w:rsidP="005B11A9">
            <w:pPr>
              <w:jc w:val="center"/>
              <w:rPr>
                <w:rFonts w:ascii="Arial" w:hAnsi="Arial" w:cs="Arial"/>
                <w:sz w:val="18"/>
                <w:szCs w:val="18"/>
              </w:rPr>
            </w:pPr>
            <w:r w:rsidRPr="003C630E">
              <w:rPr>
                <w:rFonts w:ascii="Arial" w:hAnsi="Arial" w:cs="Arial"/>
                <w:b/>
                <w:sz w:val="18"/>
                <w:szCs w:val="18"/>
              </w:rPr>
              <w:t xml:space="preserve">Process </w:t>
            </w:r>
            <w:r w:rsidR="003C630E" w:rsidRPr="003C630E">
              <w:rPr>
                <w:rFonts w:ascii="Arial" w:hAnsi="Arial" w:cs="Arial"/>
                <w:b/>
                <w:sz w:val="18"/>
                <w:szCs w:val="18"/>
              </w:rPr>
              <w:t>heat</w:t>
            </w:r>
            <w:r w:rsidR="003C630E">
              <w:rPr>
                <w:rFonts w:ascii="Arial" w:hAnsi="Arial" w:cs="Arial"/>
                <w:sz w:val="18"/>
                <w:szCs w:val="18"/>
              </w:rPr>
              <w:t xml:space="preserve"> </w:t>
            </w:r>
            <w:r w:rsidRPr="00A143CF">
              <w:rPr>
                <w:rFonts w:ascii="Arial" w:hAnsi="Arial" w:cs="Arial"/>
                <w:sz w:val="18"/>
                <w:szCs w:val="18"/>
              </w:rPr>
              <w:t xml:space="preserve">and </w:t>
            </w:r>
            <w:r w:rsidRPr="00A143CF">
              <w:rPr>
                <w:rFonts w:ascii="Arial" w:hAnsi="Arial" w:cs="Arial"/>
                <w:b/>
                <w:sz w:val="18"/>
                <w:szCs w:val="18"/>
              </w:rPr>
              <w:t>space heating</w:t>
            </w:r>
            <w:r w:rsidRPr="00A143CF">
              <w:rPr>
                <w:rFonts w:ascii="Arial" w:hAnsi="Arial" w:cs="Arial"/>
                <w:sz w:val="18"/>
                <w:szCs w:val="18"/>
              </w:rPr>
              <w:t xml:space="preserve"> demand totals for manufacturing industries only</w:t>
            </w:r>
          </w:p>
        </w:tc>
        <w:tc>
          <w:tcPr>
            <w:tcW w:w="3060" w:type="dxa"/>
            <w:vAlign w:val="center"/>
          </w:tcPr>
          <w:p w14:paraId="4BDD8A77" w14:textId="254EA45B" w:rsidR="00A5520E" w:rsidRPr="00A143CF" w:rsidRDefault="00A5520E" w:rsidP="00F5567E">
            <w:pPr>
              <w:jc w:val="center"/>
              <w:rPr>
                <w:rFonts w:ascii="Arial" w:hAnsi="Arial" w:cs="Arial"/>
                <w:sz w:val="18"/>
                <w:szCs w:val="18"/>
              </w:rPr>
            </w:pPr>
            <w:r w:rsidRPr="00A143CF">
              <w:rPr>
                <w:rFonts w:ascii="Arial" w:hAnsi="Arial" w:cs="Arial"/>
                <w:b/>
                <w:sz w:val="18"/>
                <w:szCs w:val="18"/>
              </w:rPr>
              <w:t>Census region</w:t>
            </w:r>
            <w:r w:rsidRPr="00A143CF">
              <w:rPr>
                <w:rFonts w:ascii="Arial" w:hAnsi="Arial" w:cs="Arial"/>
                <w:sz w:val="18"/>
                <w:szCs w:val="18"/>
              </w:rPr>
              <w:t xml:space="preserve"> – Four total regions in the U</w:t>
            </w:r>
            <w:r w:rsidR="00895631">
              <w:rPr>
                <w:rFonts w:ascii="Arial" w:hAnsi="Arial" w:cs="Arial"/>
                <w:sz w:val="18"/>
                <w:szCs w:val="18"/>
              </w:rPr>
              <w:t xml:space="preserve">nited </w:t>
            </w:r>
            <w:r w:rsidRPr="00A143CF">
              <w:rPr>
                <w:rFonts w:ascii="Arial" w:hAnsi="Arial" w:cs="Arial"/>
                <w:sz w:val="18"/>
                <w:szCs w:val="18"/>
              </w:rPr>
              <w:t>S</w:t>
            </w:r>
            <w:r w:rsidR="00895631">
              <w:rPr>
                <w:rFonts w:ascii="Arial" w:hAnsi="Arial" w:cs="Arial"/>
                <w:sz w:val="18"/>
                <w:szCs w:val="18"/>
              </w:rPr>
              <w:t>tates</w:t>
            </w:r>
            <w:r w:rsidRPr="00A143CF">
              <w:rPr>
                <w:rFonts w:ascii="Arial" w:hAnsi="Arial" w:cs="Arial"/>
                <w:sz w:val="18"/>
                <w:szCs w:val="18"/>
              </w:rPr>
              <w:t xml:space="preserve">, each consisting of between nine and </w:t>
            </w:r>
            <w:r w:rsidR="00F5567E">
              <w:rPr>
                <w:rFonts w:ascii="Arial" w:hAnsi="Arial" w:cs="Arial"/>
                <w:sz w:val="18"/>
                <w:szCs w:val="18"/>
              </w:rPr>
              <w:t>17</w:t>
            </w:r>
            <w:r w:rsidR="00F5567E" w:rsidRPr="00A143CF">
              <w:rPr>
                <w:rFonts w:ascii="Arial" w:hAnsi="Arial" w:cs="Arial"/>
                <w:sz w:val="18"/>
                <w:szCs w:val="18"/>
              </w:rPr>
              <w:t xml:space="preserve"> </w:t>
            </w:r>
            <w:r w:rsidRPr="00A143CF">
              <w:rPr>
                <w:rFonts w:ascii="Arial" w:hAnsi="Arial" w:cs="Arial"/>
                <w:sz w:val="18"/>
                <w:szCs w:val="18"/>
              </w:rPr>
              <w:t>states</w:t>
            </w:r>
          </w:p>
        </w:tc>
      </w:tr>
      <w:tr w:rsidR="00A5520E" w:rsidRPr="00A143CF" w14:paraId="49D9C52A" w14:textId="77777777" w:rsidTr="00427C94">
        <w:tc>
          <w:tcPr>
            <w:tcW w:w="1188" w:type="dxa"/>
            <w:vMerge/>
            <w:vAlign w:val="center"/>
          </w:tcPr>
          <w:p w14:paraId="1A2A83E5" w14:textId="77777777" w:rsidR="00A5520E" w:rsidRPr="00A143CF" w:rsidRDefault="00A5520E" w:rsidP="005B11A9">
            <w:pPr>
              <w:jc w:val="center"/>
              <w:rPr>
                <w:rFonts w:ascii="Arial" w:hAnsi="Arial" w:cs="Arial"/>
                <w:sz w:val="18"/>
                <w:szCs w:val="18"/>
              </w:rPr>
            </w:pPr>
          </w:p>
        </w:tc>
        <w:tc>
          <w:tcPr>
            <w:tcW w:w="2070" w:type="dxa"/>
            <w:vAlign w:val="center"/>
          </w:tcPr>
          <w:p w14:paraId="6C1298BE" w14:textId="5503EE5B" w:rsidR="00A5520E" w:rsidRPr="00A143CF" w:rsidRDefault="00A5520E" w:rsidP="00F5567E">
            <w:pPr>
              <w:jc w:val="center"/>
              <w:rPr>
                <w:rFonts w:ascii="Arial" w:hAnsi="Arial" w:cs="Arial"/>
                <w:sz w:val="18"/>
                <w:szCs w:val="18"/>
              </w:rPr>
            </w:pPr>
            <w:r w:rsidRPr="00A143CF">
              <w:rPr>
                <w:rFonts w:ascii="Arial" w:hAnsi="Arial" w:cs="Arial"/>
                <w:i/>
                <w:sz w:val="18"/>
                <w:szCs w:val="18"/>
              </w:rPr>
              <w:t>Energy Analysis of 108 Industrial Processes</w:t>
            </w:r>
            <w:r w:rsidRPr="00A143CF">
              <w:rPr>
                <w:rFonts w:ascii="Arial" w:hAnsi="Arial" w:cs="Arial"/>
                <w:sz w:val="18"/>
                <w:szCs w:val="18"/>
              </w:rPr>
              <w:t xml:space="preserve"> (Brown et al. 1985)</w:t>
            </w:r>
          </w:p>
        </w:tc>
        <w:tc>
          <w:tcPr>
            <w:tcW w:w="1170" w:type="dxa"/>
            <w:vAlign w:val="center"/>
          </w:tcPr>
          <w:p w14:paraId="207AA5D7" w14:textId="77777777" w:rsidR="00A5520E" w:rsidRPr="00A143CF" w:rsidRDefault="00A5520E" w:rsidP="005B11A9">
            <w:pPr>
              <w:jc w:val="center"/>
              <w:rPr>
                <w:rFonts w:ascii="Arial" w:hAnsi="Arial" w:cs="Arial"/>
                <w:sz w:val="18"/>
                <w:szCs w:val="18"/>
              </w:rPr>
            </w:pPr>
            <w:r w:rsidRPr="00A143CF">
              <w:rPr>
                <w:rFonts w:ascii="Arial" w:hAnsi="Arial" w:cs="Arial"/>
                <w:b/>
                <w:sz w:val="18"/>
                <w:szCs w:val="18"/>
              </w:rPr>
              <w:t>1985</w:t>
            </w:r>
          </w:p>
        </w:tc>
        <w:tc>
          <w:tcPr>
            <w:tcW w:w="1890" w:type="dxa"/>
            <w:vAlign w:val="center"/>
          </w:tcPr>
          <w:p w14:paraId="1C38E37A" w14:textId="14A6EB30" w:rsidR="00A5520E" w:rsidRPr="00A143CF" w:rsidRDefault="00A5520E" w:rsidP="005B11A9">
            <w:pPr>
              <w:jc w:val="center"/>
              <w:rPr>
                <w:rFonts w:ascii="Arial" w:hAnsi="Arial" w:cs="Arial"/>
                <w:sz w:val="18"/>
                <w:szCs w:val="18"/>
              </w:rPr>
            </w:pPr>
            <w:r w:rsidRPr="00A143CF">
              <w:rPr>
                <w:rFonts w:ascii="Arial" w:hAnsi="Arial" w:cs="Arial"/>
                <w:b/>
                <w:sz w:val="18"/>
                <w:szCs w:val="18"/>
              </w:rPr>
              <w:t>Energy usage</w:t>
            </w:r>
            <w:r w:rsidRPr="00A143CF">
              <w:rPr>
                <w:rFonts w:ascii="Arial" w:hAnsi="Arial" w:cs="Arial"/>
                <w:sz w:val="18"/>
                <w:szCs w:val="18"/>
              </w:rPr>
              <w:t xml:space="preserve"> of 108 most energy-intensive processes in manufacturing</w:t>
            </w:r>
            <w:r w:rsidR="00895631">
              <w:rPr>
                <w:rFonts w:ascii="Arial" w:hAnsi="Arial" w:cs="Arial"/>
                <w:sz w:val="18"/>
                <w:szCs w:val="18"/>
              </w:rPr>
              <w:t>;</w:t>
            </w:r>
          </w:p>
          <w:p w14:paraId="4D7B85E7" w14:textId="77777777" w:rsidR="00A5520E" w:rsidRPr="00A143CF" w:rsidRDefault="00A5520E" w:rsidP="005B11A9">
            <w:pPr>
              <w:jc w:val="center"/>
              <w:rPr>
                <w:rFonts w:ascii="Arial" w:hAnsi="Arial" w:cs="Arial"/>
                <w:sz w:val="18"/>
                <w:szCs w:val="18"/>
              </w:rPr>
            </w:pPr>
            <w:r w:rsidRPr="00A143CF">
              <w:rPr>
                <w:rFonts w:ascii="Arial" w:hAnsi="Arial" w:cs="Arial"/>
                <w:b/>
                <w:sz w:val="18"/>
                <w:szCs w:val="18"/>
              </w:rPr>
              <w:t>Fluid temperatures</w:t>
            </w:r>
            <w:r w:rsidRPr="00A143CF">
              <w:rPr>
                <w:rFonts w:ascii="Arial" w:hAnsi="Arial" w:cs="Arial"/>
                <w:sz w:val="18"/>
                <w:szCs w:val="18"/>
              </w:rPr>
              <w:t xml:space="preserve"> of processes</w:t>
            </w:r>
          </w:p>
        </w:tc>
        <w:tc>
          <w:tcPr>
            <w:tcW w:w="3060" w:type="dxa"/>
            <w:vAlign w:val="center"/>
          </w:tcPr>
          <w:p w14:paraId="16CCCCCE" w14:textId="77777777" w:rsidR="00A5520E" w:rsidRPr="00A143CF" w:rsidRDefault="00A5520E" w:rsidP="005B11A9">
            <w:pPr>
              <w:jc w:val="center"/>
              <w:rPr>
                <w:rFonts w:ascii="Arial" w:hAnsi="Arial" w:cs="Arial"/>
                <w:sz w:val="18"/>
                <w:szCs w:val="18"/>
              </w:rPr>
            </w:pPr>
            <w:r w:rsidRPr="00A143CF">
              <w:rPr>
                <w:rFonts w:ascii="Arial" w:hAnsi="Arial" w:cs="Arial"/>
                <w:sz w:val="18"/>
                <w:szCs w:val="18"/>
              </w:rPr>
              <w:t>N/A</w:t>
            </w:r>
          </w:p>
        </w:tc>
      </w:tr>
      <w:tr w:rsidR="00A5520E" w:rsidRPr="00A143CF" w14:paraId="1CA57618" w14:textId="77777777" w:rsidTr="00427C94">
        <w:tc>
          <w:tcPr>
            <w:tcW w:w="1188" w:type="dxa"/>
            <w:vMerge/>
            <w:vAlign w:val="center"/>
          </w:tcPr>
          <w:p w14:paraId="663C366D" w14:textId="77777777" w:rsidR="00A5520E" w:rsidRPr="00A143CF" w:rsidRDefault="00A5520E" w:rsidP="005B11A9">
            <w:pPr>
              <w:jc w:val="center"/>
              <w:rPr>
                <w:rFonts w:ascii="Arial" w:hAnsi="Arial" w:cs="Arial"/>
                <w:sz w:val="18"/>
                <w:szCs w:val="18"/>
              </w:rPr>
            </w:pPr>
          </w:p>
        </w:tc>
        <w:tc>
          <w:tcPr>
            <w:tcW w:w="2070" w:type="dxa"/>
            <w:vAlign w:val="center"/>
          </w:tcPr>
          <w:p w14:paraId="2F00EA10" w14:textId="59A9B450" w:rsidR="00A5520E" w:rsidRPr="00A5520E" w:rsidRDefault="00A5520E" w:rsidP="005B11A9">
            <w:pPr>
              <w:jc w:val="center"/>
              <w:rPr>
                <w:rFonts w:ascii="Arial" w:hAnsi="Arial" w:cs="Arial"/>
                <w:sz w:val="18"/>
                <w:szCs w:val="18"/>
              </w:rPr>
            </w:pPr>
            <w:r>
              <w:rPr>
                <w:rFonts w:ascii="Arial" w:hAnsi="Arial" w:cs="Arial"/>
                <w:sz w:val="18"/>
                <w:szCs w:val="18"/>
              </w:rPr>
              <w:t>U.S. Census Bureau – County Business Patterns (CBP)</w:t>
            </w:r>
          </w:p>
        </w:tc>
        <w:tc>
          <w:tcPr>
            <w:tcW w:w="1170" w:type="dxa"/>
            <w:vAlign w:val="center"/>
          </w:tcPr>
          <w:p w14:paraId="512021F5" w14:textId="7DC79F52" w:rsidR="00A5520E" w:rsidRPr="00A143CF" w:rsidRDefault="00D95BDD" w:rsidP="005B11A9">
            <w:pPr>
              <w:jc w:val="center"/>
              <w:rPr>
                <w:rFonts w:ascii="Arial" w:hAnsi="Arial" w:cs="Arial"/>
                <w:b/>
                <w:sz w:val="18"/>
                <w:szCs w:val="18"/>
              </w:rPr>
            </w:pPr>
            <w:r>
              <w:rPr>
                <w:rFonts w:ascii="Arial" w:hAnsi="Arial" w:cs="Arial"/>
                <w:b/>
                <w:sz w:val="18"/>
                <w:szCs w:val="18"/>
              </w:rPr>
              <w:t>2013</w:t>
            </w:r>
          </w:p>
        </w:tc>
        <w:tc>
          <w:tcPr>
            <w:tcW w:w="1890" w:type="dxa"/>
            <w:vAlign w:val="center"/>
          </w:tcPr>
          <w:p w14:paraId="58C38C0B" w14:textId="782634B5" w:rsidR="00A5520E" w:rsidRPr="00D95BDD" w:rsidRDefault="00D95BDD" w:rsidP="005B11A9">
            <w:pPr>
              <w:jc w:val="center"/>
              <w:rPr>
                <w:rFonts w:ascii="Arial" w:hAnsi="Arial" w:cs="Arial"/>
                <w:sz w:val="18"/>
                <w:szCs w:val="18"/>
              </w:rPr>
            </w:pPr>
            <w:r>
              <w:rPr>
                <w:rFonts w:ascii="Arial" w:hAnsi="Arial" w:cs="Arial"/>
                <w:b/>
                <w:sz w:val="18"/>
                <w:szCs w:val="18"/>
              </w:rPr>
              <w:t>Number of establishments</w:t>
            </w:r>
            <w:r>
              <w:rPr>
                <w:rFonts w:ascii="Arial" w:hAnsi="Arial" w:cs="Arial"/>
                <w:sz w:val="18"/>
                <w:szCs w:val="18"/>
              </w:rPr>
              <w:t xml:space="preserve"> (by 6-digit </w:t>
            </w:r>
            <w:r w:rsidRPr="00F5567E">
              <w:rPr>
                <w:rFonts w:ascii="Arial" w:hAnsi="Arial" w:cs="Arial"/>
                <w:sz w:val="18"/>
                <w:szCs w:val="18"/>
                <w:highlight w:val="yellow"/>
              </w:rPr>
              <w:t>NAICS</w:t>
            </w:r>
            <w:r>
              <w:rPr>
                <w:rFonts w:ascii="Arial" w:hAnsi="Arial" w:cs="Arial"/>
                <w:sz w:val="18"/>
                <w:szCs w:val="18"/>
              </w:rPr>
              <w:t xml:space="preserve"> code) in each county</w:t>
            </w:r>
          </w:p>
        </w:tc>
        <w:tc>
          <w:tcPr>
            <w:tcW w:w="3060" w:type="dxa"/>
            <w:vAlign w:val="center"/>
          </w:tcPr>
          <w:p w14:paraId="60E06C3E" w14:textId="6CC0EE60" w:rsidR="00A5520E" w:rsidRPr="00D95BDD" w:rsidRDefault="00D95BDD" w:rsidP="005B11A9">
            <w:pPr>
              <w:jc w:val="center"/>
              <w:rPr>
                <w:rFonts w:ascii="Arial" w:hAnsi="Arial" w:cs="Arial"/>
                <w:sz w:val="18"/>
                <w:szCs w:val="18"/>
              </w:rPr>
            </w:pPr>
            <w:r>
              <w:rPr>
                <w:rFonts w:ascii="Arial" w:hAnsi="Arial" w:cs="Arial"/>
                <w:b/>
                <w:sz w:val="18"/>
                <w:szCs w:val="18"/>
              </w:rPr>
              <w:t>County level</w:t>
            </w:r>
          </w:p>
        </w:tc>
      </w:tr>
      <w:tr w:rsidR="00E7050E" w:rsidRPr="00A143CF" w14:paraId="6BF8D625" w14:textId="77777777" w:rsidTr="00427C94">
        <w:tc>
          <w:tcPr>
            <w:tcW w:w="1188" w:type="dxa"/>
            <w:vMerge w:val="restart"/>
            <w:vAlign w:val="center"/>
          </w:tcPr>
          <w:p w14:paraId="2433EE74" w14:textId="3CE65B62" w:rsidR="00E7050E" w:rsidRPr="00A143CF" w:rsidRDefault="00E7050E" w:rsidP="005B11A9">
            <w:pPr>
              <w:jc w:val="center"/>
              <w:rPr>
                <w:rFonts w:ascii="Arial" w:hAnsi="Arial" w:cs="Arial"/>
                <w:sz w:val="18"/>
                <w:szCs w:val="18"/>
              </w:rPr>
            </w:pPr>
            <w:r>
              <w:rPr>
                <w:rFonts w:ascii="Arial" w:hAnsi="Arial" w:cs="Arial"/>
                <w:sz w:val="18"/>
                <w:szCs w:val="18"/>
              </w:rPr>
              <w:t>Agricultural</w:t>
            </w:r>
          </w:p>
        </w:tc>
        <w:tc>
          <w:tcPr>
            <w:tcW w:w="2070" w:type="dxa"/>
            <w:vAlign w:val="center"/>
          </w:tcPr>
          <w:p w14:paraId="774FA550" w14:textId="38C25C71" w:rsidR="00E7050E" w:rsidRDefault="00E7050E" w:rsidP="005B11A9">
            <w:pPr>
              <w:jc w:val="center"/>
              <w:rPr>
                <w:rFonts w:ascii="Arial" w:hAnsi="Arial" w:cs="Arial"/>
                <w:sz w:val="18"/>
                <w:szCs w:val="18"/>
              </w:rPr>
            </w:pPr>
            <w:r>
              <w:rPr>
                <w:rFonts w:ascii="Arial" w:hAnsi="Arial" w:cs="Arial"/>
                <w:sz w:val="18"/>
                <w:szCs w:val="18"/>
              </w:rPr>
              <w:t>USDA – Farm Production Expenditures</w:t>
            </w:r>
          </w:p>
        </w:tc>
        <w:tc>
          <w:tcPr>
            <w:tcW w:w="1170" w:type="dxa"/>
            <w:vAlign w:val="center"/>
          </w:tcPr>
          <w:p w14:paraId="4585F1B6" w14:textId="13613412" w:rsidR="00E7050E" w:rsidRDefault="00E7050E" w:rsidP="005B11A9">
            <w:pPr>
              <w:jc w:val="center"/>
              <w:rPr>
                <w:rFonts w:ascii="Arial" w:hAnsi="Arial" w:cs="Arial"/>
                <w:b/>
                <w:sz w:val="18"/>
                <w:szCs w:val="18"/>
              </w:rPr>
            </w:pPr>
            <w:r>
              <w:rPr>
                <w:rFonts w:ascii="Arial" w:hAnsi="Arial" w:cs="Arial"/>
                <w:b/>
                <w:sz w:val="18"/>
                <w:szCs w:val="18"/>
              </w:rPr>
              <w:t>2012</w:t>
            </w:r>
          </w:p>
        </w:tc>
        <w:tc>
          <w:tcPr>
            <w:tcW w:w="1890" w:type="dxa"/>
            <w:vAlign w:val="center"/>
          </w:tcPr>
          <w:p w14:paraId="3E96B280" w14:textId="131741ED" w:rsidR="00E7050E" w:rsidRPr="00427C94" w:rsidRDefault="00E7050E" w:rsidP="00A15D31">
            <w:pPr>
              <w:keepNext/>
              <w:keepLines/>
              <w:jc w:val="center"/>
              <w:outlineLvl w:val="1"/>
              <w:rPr>
                <w:rFonts w:ascii="Arial" w:hAnsi="Arial" w:cs="Arial"/>
                <w:sz w:val="18"/>
                <w:szCs w:val="18"/>
              </w:rPr>
            </w:pPr>
            <w:r w:rsidRPr="00A231AB">
              <w:rPr>
                <w:rFonts w:ascii="Arial" w:hAnsi="Arial" w:cs="Arial"/>
                <w:b/>
                <w:sz w:val="18"/>
                <w:szCs w:val="18"/>
              </w:rPr>
              <w:t>Fuel expenditures</w:t>
            </w:r>
            <w:r>
              <w:rPr>
                <w:rFonts w:ascii="Arial" w:hAnsi="Arial" w:cs="Arial"/>
                <w:sz w:val="18"/>
                <w:szCs w:val="18"/>
              </w:rPr>
              <w:t xml:space="preserve"> for individual and aggregates of states</w:t>
            </w:r>
          </w:p>
        </w:tc>
        <w:tc>
          <w:tcPr>
            <w:tcW w:w="3060" w:type="dxa"/>
            <w:vAlign w:val="center"/>
          </w:tcPr>
          <w:p w14:paraId="364ABB1B" w14:textId="7E48DB17" w:rsidR="00E7050E" w:rsidRDefault="00E7050E" w:rsidP="005B11A9">
            <w:pPr>
              <w:jc w:val="center"/>
              <w:rPr>
                <w:rFonts w:ascii="Arial" w:hAnsi="Arial" w:cs="Arial"/>
                <w:b/>
                <w:sz w:val="18"/>
                <w:szCs w:val="18"/>
              </w:rPr>
            </w:pPr>
            <w:r>
              <w:rPr>
                <w:rFonts w:ascii="Arial" w:hAnsi="Arial" w:cs="Arial"/>
                <w:b/>
                <w:sz w:val="18"/>
                <w:szCs w:val="18"/>
              </w:rPr>
              <w:t xml:space="preserve">Region level </w:t>
            </w:r>
            <w:r>
              <w:rPr>
                <w:rFonts w:ascii="Arial" w:hAnsi="Arial" w:cs="Arial"/>
                <w:sz w:val="18"/>
                <w:szCs w:val="18"/>
              </w:rPr>
              <w:t>(individual states and aggregates of states)</w:t>
            </w:r>
          </w:p>
        </w:tc>
      </w:tr>
      <w:tr w:rsidR="00E7050E" w:rsidRPr="00A143CF" w14:paraId="5C5D79D1" w14:textId="77777777" w:rsidTr="00427C94">
        <w:tc>
          <w:tcPr>
            <w:tcW w:w="1188" w:type="dxa"/>
            <w:vMerge/>
            <w:vAlign w:val="center"/>
          </w:tcPr>
          <w:p w14:paraId="5271576A" w14:textId="77777777" w:rsidR="00E7050E" w:rsidRDefault="00E7050E" w:rsidP="005B11A9">
            <w:pPr>
              <w:jc w:val="center"/>
              <w:rPr>
                <w:rFonts w:ascii="Arial" w:hAnsi="Arial" w:cs="Arial"/>
                <w:sz w:val="18"/>
                <w:szCs w:val="18"/>
              </w:rPr>
            </w:pPr>
          </w:p>
        </w:tc>
        <w:tc>
          <w:tcPr>
            <w:tcW w:w="2070" w:type="dxa"/>
            <w:vAlign w:val="center"/>
          </w:tcPr>
          <w:p w14:paraId="61335C84" w14:textId="42D4A481" w:rsidR="00E7050E" w:rsidRDefault="00F73D2F" w:rsidP="005B11A9">
            <w:pPr>
              <w:jc w:val="center"/>
              <w:rPr>
                <w:rFonts w:ascii="Arial" w:hAnsi="Arial" w:cs="Arial"/>
                <w:sz w:val="18"/>
                <w:szCs w:val="18"/>
              </w:rPr>
            </w:pPr>
            <w:r>
              <w:rPr>
                <w:rFonts w:ascii="Arial" w:hAnsi="Arial" w:cs="Arial"/>
                <w:sz w:val="18"/>
                <w:szCs w:val="18"/>
              </w:rPr>
              <w:t>USDA</w:t>
            </w:r>
            <w:r w:rsidR="00E7050E">
              <w:rPr>
                <w:rFonts w:ascii="Arial" w:hAnsi="Arial" w:cs="Arial"/>
                <w:sz w:val="18"/>
                <w:szCs w:val="18"/>
              </w:rPr>
              <w:t xml:space="preserve"> – Census of Agriculture</w:t>
            </w:r>
          </w:p>
        </w:tc>
        <w:tc>
          <w:tcPr>
            <w:tcW w:w="1170" w:type="dxa"/>
            <w:vAlign w:val="center"/>
          </w:tcPr>
          <w:p w14:paraId="0A711A15" w14:textId="4CA6C05C" w:rsidR="00E7050E" w:rsidRDefault="00E7050E" w:rsidP="005B11A9">
            <w:pPr>
              <w:jc w:val="center"/>
              <w:rPr>
                <w:rFonts w:ascii="Arial" w:hAnsi="Arial" w:cs="Arial"/>
                <w:b/>
                <w:sz w:val="18"/>
                <w:szCs w:val="18"/>
              </w:rPr>
            </w:pPr>
            <w:r>
              <w:rPr>
                <w:rFonts w:ascii="Arial" w:hAnsi="Arial" w:cs="Arial"/>
                <w:b/>
                <w:sz w:val="18"/>
                <w:szCs w:val="18"/>
              </w:rPr>
              <w:t>2012</w:t>
            </w:r>
          </w:p>
        </w:tc>
        <w:tc>
          <w:tcPr>
            <w:tcW w:w="1890" w:type="dxa"/>
            <w:vAlign w:val="center"/>
          </w:tcPr>
          <w:p w14:paraId="30026136" w14:textId="342E55ED" w:rsidR="00E7050E" w:rsidRPr="00427C94" w:rsidRDefault="00E7050E" w:rsidP="00A15D31">
            <w:pPr>
              <w:keepNext/>
              <w:keepLines/>
              <w:jc w:val="center"/>
              <w:outlineLvl w:val="1"/>
              <w:rPr>
                <w:rFonts w:ascii="Arial" w:hAnsi="Arial" w:cs="Arial"/>
                <w:sz w:val="18"/>
                <w:szCs w:val="18"/>
              </w:rPr>
            </w:pPr>
            <w:r>
              <w:rPr>
                <w:rFonts w:ascii="Arial" w:hAnsi="Arial" w:cs="Arial"/>
                <w:b/>
                <w:sz w:val="18"/>
                <w:szCs w:val="18"/>
              </w:rPr>
              <w:t>Number of farms</w:t>
            </w:r>
            <w:r>
              <w:rPr>
                <w:rFonts w:ascii="Arial" w:hAnsi="Arial" w:cs="Arial"/>
                <w:sz w:val="18"/>
                <w:szCs w:val="18"/>
              </w:rPr>
              <w:t xml:space="preserve"> in each county, for 15 agriculture NAICS codes</w:t>
            </w:r>
          </w:p>
        </w:tc>
        <w:tc>
          <w:tcPr>
            <w:tcW w:w="3060" w:type="dxa"/>
            <w:vAlign w:val="center"/>
          </w:tcPr>
          <w:p w14:paraId="66581654" w14:textId="70A32A07" w:rsidR="00E7050E" w:rsidRPr="00427C94" w:rsidRDefault="00E7050E" w:rsidP="005B11A9">
            <w:pPr>
              <w:keepNext/>
              <w:keepLines/>
              <w:spacing w:before="200"/>
              <w:jc w:val="center"/>
              <w:outlineLvl w:val="1"/>
              <w:rPr>
                <w:rFonts w:ascii="Arial" w:hAnsi="Arial" w:cs="Arial"/>
                <w:sz w:val="18"/>
                <w:szCs w:val="18"/>
              </w:rPr>
            </w:pPr>
            <w:r>
              <w:rPr>
                <w:rFonts w:ascii="Arial" w:hAnsi="Arial" w:cs="Arial"/>
                <w:b/>
                <w:sz w:val="18"/>
                <w:szCs w:val="18"/>
              </w:rPr>
              <w:t>County level</w:t>
            </w:r>
          </w:p>
        </w:tc>
      </w:tr>
    </w:tbl>
    <w:p w14:paraId="233375B8" w14:textId="77777777" w:rsidR="00F346B7" w:rsidRDefault="00F346B7" w:rsidP="00C23F9D">
      <w:pPr>
        <w:rPr>
          <w:rFonts w:cs="Times New Roman"/>
        </w:rPr>
      </w:pPr>
    </w:p>
    <w:p w14:paraId="0703A258" w14:textId="296D626A" w:rsidR="00C23F9D" w:rsidRPr="00C23F9D" w:rsidRDefault="00E319FA" w:rsidP="00C23F9D">
      <w:pPr>
        <w:rPr>
          <w:rFonts w:cs="Times New Roman"/>
          <w:b/>
        </w:rPr>
      </w:pPr>
      <w:r>
        <w:rPr>
          <w:rFonts w:cs="Times New Roman"/>
          <w:b/>
        </w:rPr>
        <w:t>Residential Sector</w:t>
      </w:r>
    </w:p>
    <w:p w14:paraId="3177B102" w14:textId="493543D2" w:rsidR="00C23F9D" w:rsidRPr="00C23F9D" w:rsidRDefault="00C23F9D" w:rsidP="00C23F9D">
      <w:pPr>
        <w:rPr>
          <w:rFonts w:cs="Times New Roman"/>
        </w:rPr>
      </w:pPr>
      <w:r w:rsidRPr="00C23F9D">
        <w:rPr>
          <w:rFonts w:cs="Times New Roman"/>
          <w:u w:val="single"/>
        </w:rPr>
        <w:t>EIA’s Residential Energy Consumption Survey (RECS)</w:t>
      </w:r>
      <w:r w:rsidRPr="00C23F9D">
        <w:rPr>
          <w:rFonts w:cs="Times New Roman"/>
        </w:rPr>
        <w:t>: The most recent data for end-use demand totals for space and water heating come from EIA’s 2009 RECS survey</w:t>
      </w:r>
      <w:r w:rsidR="009A79D1">
        <w:rPr>
          <w:rFonts w:cs="Times New Roman"/>
        </w:rPr>
        <w:t xml:space="preserve"> (EIA 2009)</w:t>
      </w:r>
      <w:r w:rsidRPr="00C23F9D">
        <w:rPr>
          <w:rFonts w:cs="Times New Roman"/>
        </w:rPr>
        <w:t xml:space="preserve">. Data are reported at the EIA-defined </w:t>
      </w:r>
      <w:r w:rsidRPr="00A15D31">
        <w:rPr>
          <w:rFonts w:cs="Times New Roman"/>
          <w:i/>
        </w:rPr>
        <w:t>reportable domain level</w:t>
      </w:r>
      <w:r w:rsidRPr="00C23F9D">
        <w:rPr>
          <w:rFonts w:cs="Times New Roman"/>
        </w:rPr>
        <w:t>, consisting of either individual states or aggregates of states</w:t>
      </w:r>
      <w:r w:rsidR="00F5567E">
        <w:rPr>
          <w:rFonts w:cs="Times New Roman"/>
        </w:rPr>
        <w:t>.</w:t>
      </w:r>
      <w:r w:rsidRPr="00C23F9D">
        <w:rPr>
          <w:rFonts w:cs="Times New Roman"/>
          <w:vertAlign w:val="superscript"/>
        </w:rPr>
        <w:footnoteReference w:id="1"/>
      </w:r>
      <w:r w:rsidRPr="00C23F9D">
        <w:rPr>
          <w:rFonts w:cs="Times New Roman"/>
        </w:rPr>
        <w:t xml:space="preserve"> </w:t>
      </w:r>
      <w:r w:rsidR="00223701">
        <w:rPr>
          <w:rFonts w:cs="Times New Roman"/>
        </w:rPr>
        <w:t xml:space="preserve">The </w:t>
      </w:r>
      <w:r w:rsidRPr="00C23F9D">
        <w:rPr>
          <w:rFonts w:cs="Times New Roman"/>
        </w:rPr>
        <w:t xml:space="preserve">RECS also includes </w:t>
      </w:r>
      <w:r w:rsidRPr="00427C94">
        <w:rPr>
          <w:rFonts w:cs="Times New Roman"/>
        </w:rPr>
        <w:t>climate region</w:t>
      </w:r>
      <w:r w:rsidRPr="00C23F9D">
        <w:rPr>
          <w:rFonts w:cs="Times New Roman"/>
        </w:rPr>
        <w:t xml:space="preserve"> distinctions for each residence based on its geographical location. The definitions of these regions are based on the </w:t>
      </w:r>
      <w:r w:rsidRPr="00C23F9D">
        <w:rPr>
          <w:rFonts w:cs="Times New Roman"/>
        </w:rPr>
        <w:lastRenderedPageBreak/>
        <w:t>DOE’s Building America program (DOE 2010). Fluid temperatures for space and water heating are assumed</w:t>
      </w:r>
      <w:r w:rsidR="00B23366" w:rsidRPr="00B23366">
        <w:rPr>
          <w:rFonts w:cs="Times New Roman"/>
        </w:rPr>
        <w:t xml:space="preserve"> </w:t>
      </w:r>
      <w:r w:rsidR="00B23366" w:rsidRPr="00C23F9D">
        <w:rPr>
          <w:rFonts w:cs="Times New Roman"/>
        </w:rPr>
        <w:t>to be within the study temperature bounds</w:t>
      </w:r>
      <w:r w:rsidR="00B23366">
        <w:rPr>
          <w:rFonts w:cs="Times New Roman"/>
        </w:rPr>
        <w:t xml:space="preserve"> (30° to 150°C).</w:t>
      </w:r>
      <w:r w:rsidRPr="00C23F9D">
        <w:rPr>
          <w:rFonts w:cs="Times New Roman"/>
          <w:vertAlign w:val="superscript"/>
        </w:rPr>
        <w:footnoteReference w:id="2"/>
      </w:r>
      <w:r w:rsidRPr="00C23F9D">
        <w:rPr>
          <w:rFonts w:cs="Times New Roman"/>
        </w:rPr>
        <w:t xml:space="preserve"> </w:t>
      </w:r>
    </w:p>
    <w:p w14:paraId="57CE658E" w14:textId="77777777" w:rsidR="00C23F9D" w:rsidRPr="00C23F9D" w:rsidRDefault="00C23F9D" w:rsidP="00C23F9D">
      <w:pPr>
        <w:rPr>
          <w:rFonts w:cs="Times New Roman"/>
        </w:rPr>
      </w:pPr>
    </w:p>
    <w:p w14:paraId="241ACB89" w14:textId="59975D89" w:rsidR="00C23F9D" w:rsidRDefault="002E325C" w:rsidP="00C23F9D">
      <w:pPr>
        <w:rPr>
          <w:rFonts w:cs="Times New Roman"/>
        </w:rPr>
      </w:pPr>
      <w:r>
        <w:rPr>
          <w:rFonts w:cs="Times New Roman"/>
          <w:u w:val="single"/>
        </w:rPr>
        <w:t xml:space="preserve">U.S. Census Bureau – </w:t>
      </w:r>
      <w:r w:rsidR="00C23F9D" w:rsidRPr="00C23F9D">
        <w:rPr>
          <w:rFonts w:cs="Times New Roman"/>
          <w:u w:val="single"/>
        </w:rPr>
        <w:t>American Community Survey (ACS)</w:t>
      </w:r>
      <w:r w:rsidR="00C23F9D" w:rsidRPr="00C23F9D">
        <w:rPr>
          <w:rFonts w:cs="Times New Roman"/>
        </w:rPr>
        <w:t xml:space="preserve">: </w:t>
      </w:r>
      <w:r w:rsidR="00B23366">
        <w:rPr>
          <w:rFonts w:cs="Times New Roman"/>
        </w:rPr>
        <w:t>Five</w:t>
      </w:r>
      <w:r w:rsidR="00C23F9D" w:rsidRPr="00C23F9D">
        <w:rPr>
          <w:rFonts w:cs="Times New Roman"/>
        </w:rPr>
        <w:t xml:space="preserve">-year survey data </w:t>
      </w:r>
      <w:r w:rsidR="00AF06EA">
        <w:rPr>
          <w:rFonts w:cs="Times New Roman"/>
        </w:rPr>
        <w:t>for the 2009</w:t>
      </w:r>
      <w:r w:rsidR="00B23366">
        <w:rPr>
          <w:rFonts w:cs="Times New Roman"/>
        </w:rPr>
        <w:t>–</w:t>
      </w:r>
      <w:r w:rsidR="00AF06EA">
        <w:rPr>
          <w:rFonts w:cs="Times New Roman"/>
        </w:rPr>
        <w:t xml:space="preserve">2013 period </w:t>
      </w:r>
      <w:r w:rsidR="005228A9">
        <w:rPr>
          <w:rFonts w:cs="Times New Roman"/>
        </w:rPr>
        <w:t>were</w:t>
      </w:r>
      <w:r w:rsidR="005228A9" w:rsidRPr="00C23F9D">
        <w:rPr>
          <w:rFonts w:cs="Times New Roman"/>
        </w:rPr>
        <w:t xml:space="preserve"> </w:t>
      </w:r>
      <w:r w:rsidR="00C23F9D" w:rsidRPr="00C23F9D">
        <w:rPr>
          <w:rFonts w:cs="Times New Roman"/>
        </w:rPr>
        <w:t>extracted from the National Historical Geographic Information System</w:t>
      </w:r>
      <w:r w:rsidR="00EA5D04">
        <w:rPr>
          <w:rFonts w:cs="Times New Roman"/>
        </w:rPr>
        <w:t xml:space="preserve"> (</w:t>
      </w:r>
      <w:r w:rsidR="008B7DA2">
        <w:rPr>
          <w:rFonts w:cs="Times New Roman"/>
        </w:rPr>
        <w:t>Minnesota Population Center 2011)</w:t>
      </w:r>
      <w:r w:rsidR="00C23F9D" w:rsidRPr="00C23F9D">
        <w:rPr>
          <w:rFonts w:cs="Times New Roman"/>
        </w:rPr>
        <w:t xml:space="preserve"> for </w:t>
      </w:r>
      <w:r w:rsidR="005228A9">
        <w:rPr>
          <w:rFonts w:cs="Times New Roman"/>
        </w:rPr>
        <w:t xml:space="preserve">the </w:t>
      </w:r>
      <w:r w:rsidR="00A45B97">
        <w:rPr>
          <w:rFonts w:cs="Times New Roman"/>
        </w:rPr>
        <w:t>count</w:t>
      </w:r>
      <w:r w:rsidR="00A45B97" w:rsidRPr="00C23F9D">
        <w:rPr>
          <w:rFonts w:cs="Times New Roman"/>
        </w:rPr>
        <w:t xml:space="preserve"> </w:t>
      </w:r>
      <w:r w:rsidR="00C23F9D" w:rsidRPr="00C23F9D">
        <w:rPr>
          <w:rFonts w:cs="Times New Roman"/>
        </w:rPr>
        <w:t>of housing units at the state and county levels. Totals were used to disaggregate residential thermal demand totals at the EIA reportable domain level (states, aggregates of states) to the county level.</w:t>
      </w:r>
    </w:p>
    <w:p w14:paraId="06295839" w14:textId="77777777" w:rsidR="00325B62" w:rsidRPr="00C23F9D" w:rsidRDefault="00325B62" w:rsidP="00C23F9D">
      <w:pPr>
        <w:rPr>
          <w:rFonts w:cs="Times New Roman"/>
        </w:rPr>
      </w:pPr>
    </w:p>
    <w:p w14:paraId="32FEFD2B" w14:textId="7B2A270B" w:rsidR="00C23F9D" w:rsidRPr="00C23F9D" w:rsidRDefault="00C23F9D" w:rsidP="00C23F9D">
      <w:pPr>
        <w:rPr>
          <w:rFonts w:cs="Times New Roman"/>
          <w:b/>
        </w:rPr>
      </w:pPr>
      <w:r w:rsidRPr="00C23F9D">
        <w:rPr>
          <w:rFonts w:cs="Times New Roman"/>
          <w:b/>
        </w:rPr>
        <w:t>Commercial Sector</w:t>
      </w:r>
    </w:p>
    <w:p w14:paraId="7B432F83" w14:textId="697B42AE" w:rsidR="00C23F9D" w:rsidRPr="00C23F9D" w:rsidRDefault="00C23F9D" w:rsidP="00C23F9D">
      <w:pPr>
        <w:rPr>
          <w:rFonts w:cs="Times New Roman"/>
        </w:rPr>
      </w:pPr>
      <w:r w:rsidRPr="00C23F9D">
        <w:rPr>
          <w:rFonts w:cs="Times New Roman"/>
          <w:u w:val="single"/>
        </w:rPr>
        <w:t>EIA’s CBECS</w:t>
      </w:r>
      <w:r w:rsidRPr="00C23F9D">
        <w:rPr>
          <w:rFonts w:cs="Times New Roman"/>
        </w:rPr>
        <w:t xml:space="preserve">: The most recent </w:t>
      </w:r>
      <w:r w:rsidR="00006767">
        <w:rPr>
          <w:rFonts w:cs="Times New Roman"/>
        </w:rPr>
        <w:t xml:space="preserve">granular </w:t>
      </w:r>
      <w:r w:rsidRPr="00C23F9D">
        <w:rPr>
          <w:rFonts w:cs="Times New Roman"/>
        </w:rPr>
        <w:t>data for end-use demand totals for space and water heating come from 2003 CBECS survey</w:t>
      </w:r>
      <w:r w:rsidR="008B7DA2">
        <w:rPr>
          <w:rFonts w:cs="Times New Roman"/>
        </w:rPr>
        <w:t xml:space="preserve"> (EIA 2003)</w:t>
      </w:r>
      <w:r w:rsidRPr="00C23F9D">
        <w:rPr>
          <w:rFonts w:cs="Times New Roman"/>
        </w:rPr>
        <w:t xml:space="preserve">. Fluid temperatures for space and water heating are assumed to be within the study temperature bounds. Data are reported at the EIA-defined </w:t>
      </w:r>
      <w:r w:rsidRPr="00C23F9D">
        <w:rPr>
          <w:rFonts w:cs="Times New Roman"/>
          <w:i/>
        </w:rPr>
        <w:t>census division</w:t>
      </w:r>
      <w:r w:rsidRPr="00C23F9D">
        <w:rPr>
          <w:rFonts w:cs="Times New Roman"/>
        </w:rPr>
        <w:t xml:space="preserve"> level, of which there are nine in the U</w:t>
      </w:r>
      <w:r w:rsidR="005228A9">
        <w:rPr>
          <w:rFonts w:cs="Times New Roman"/>
        </w:rPr>
        <w:t xml:space="preserve">nited </w:t>
      </w:r>
      <w:r w:rsidRPr="00C23F9D">
        <w:rPr>
          <w:rFonts w:cs="Times New Roman"/>
        </w:rPr>
        <w:t>S</w:t>
      </w:r>
      <w:r w:rsidR="005228A9">
        <w:rPr>
          <w:rFonts w:cs="Times New Roman"/>
        </w:rPr>
        <w:t>tates</w:t>
      </w:r>
      <w:r w:rsidRPr="00C23F9D">
        <w:rPr>
          <w:rFonts w:cs="Times New Roman"/>
        </w:rPr>
        <w:t>, each consisting of between three and eight states. Note that a more recent CBECS was performed in 2012</w:t>
      </w:r>
      <w:r w:rsidR="008B7DA2">
        <w:rPr>
          <w:rFonts w:cs="Times New Roman"/>
        </w:rPr>
        <w:t xml:space="preserve"> (EIA 2012)</w:t>
      </w:r>
      <w:r w:rsidRPr="00C23F9D">
        <w:rPr>
          <w:rFonts w:cs="Times New Roman"/>
        </w:rPr>
        <w:t xml:space="preserve">, </w:t>
      </w:r>
      <w:r w:rsidR="00006767">
        <w:rPr>
          <w:rFonts w:cs="Times New Roman"/>
        </w:rPr>
        <w:t>for which granular data</w:t>
      </w:r>
      <w:r w:rsidR="00006767" w:rsidRPr="00C23F9D">
        <w:rPr>
          <w:rFonts w:cs="Times New Roman"/>
        </w:rPr>
        <w:t xml:space="preserve"> </w:t>
      </w:r>
      <w:r w:rsidRPr="00C23F9D">
        <w:rPr>
          <w:rFonts w:cs="Times New Roman"/>
        </w:rPr>
        <w:t>has yet to be released, but can be incorporated in a data update relatively easily once it becomes available.</w:t>
      </w:r>
    </w:p>
    <w:p w14:paraId="5B82AD13" w14:textId="77777777" w:rsidR="00C23F9D" w:rsidRPr="00C23F9D" w:rsidRDefault="00C23F9D" w:rsidP="00C23F9D">
      <w:pPr>
        <w:rPr>
          <w:rFonts w:cs="Times New Roman"/>
        </w:rPr>
      </w:pPr>
    </w:p>
    <w:p w14:paraId="3F368EBD" w14:textId="237E7DCE" w:rsidR="00C23F9D" w:rsidRDefault="00C23F9D" w:rsidP="00C23F9D">
      <w:pPr>
        <w:rPr>
          <w:rFonts w:cs="Times New Roman"/>
        </w:rPr>
      </w:pPr>
      <w:r w:rsidRPr="00C23F9D">
        <w:rPr>
          <w:rFonts w:cs="Times New Roman"/>
          <w:u w:val="single"/>
        </w:rPr>
        <w:t>FEMA’s Comprehensive Data Management System (CDMS)</w:t>
      </w:r>
      <w:r w:rsidRPr="00C23F9D">
        <w:rPr>
          <w:rFonts w:cs="Times New Roman"/>
        </w:rPr>
        <w:t>: The CDMS</w:t>
      </w:r>
      <w:r w:rsidR="00FD15D1">
        <w:rPr>
          <w:rFonts w:cs="Times New Roman"/>
        </w:rPr>
        <w:t xml:space="preserve"> (FEMA 2013)</w:t>
      </w:r>
      <w:r w:rsidRPr="00C23F9D">
        <w:rPr>
          <w:rFonts w:cs="Times New Roman"/>
        </w:rPr>
        <w:t xml:space="preserve"> is a complementary tool to FEMA’s Hazus-MH, a risk-assessment and loss</w:t>
      </w:r>
      <w:r w:rsidR="008D44B6">
        <w:rPr>
          <w:rFonts w:cs="Times New Roman"/>
        </w:rPr>
        <w:t>-</w:t>
      </w:r>
      <w:r w:rsidRPr="00C23F9D">
        <w:rPr>
          <w:rFonts w:cs="Times New Roman"/>
        </w:rPr>
        <w:t>estimation methodology. The CDMS contains facility-specific information on several different building-type definitions and gives estimates of total square footage of each type on a countywide basis. These data were used to disaggregate commercial thermal demand totals at the EIA reportable domain level (census division) to the county level.</w:t>
      </w:r>
    </w:p>
    <w:p w14:paraId="1B28D4DF" w14:textId="77777777" w:rsidR="00325B62" w:rsidRPr="00C23F9D" w:rsidRDefault="00325B62" w:rsidP="00C23F9D">
      <w:pPr>
        <w:rPr>
          <w:rFonts w:cs="Times New Roman"/>
        </w:rPr>
      </w:pPr>
    </w:p>
    <w:p w14:paraId="2B0EC486" w14:textId="39BD054B" w:rsidR="00C23F9D" w:rsidRPr="00C23F9D" w:rsidRDefault="009B0EF2" w:rsidP="00C23F9D">
      <w:pPr>
        <w:rPr>
          <w:rFonts w:cs="Times New Roman"/>
          <w:b/>
        </w:rPr>
      </w:pPr>
      <w:r>
        <w:rPr>
          <w:rFonts w:cs="Times New Roman"/>
          <w:b/>
        </w:rPr>
        <w:t>Manufacturing</w:t>
      </w:r>
      <w:r w:rsidRPr="00C23F9D">
        <w:rPr>
          <w:rFonts w:cs="Times New Roman"/>
          <w:b/>
        </w:rPr>
        <w:t xml:space="preserve"> </w:t>
      </w:r>
      <w:r w:rsidR="00C23F9D" w:rsidRPr="00C23F9D">
        <w:rPr>
          <w:rFonts w:cs="Times New Roman"/>
          <w:b/>
        </w:rPr>
        <w:t>Sector</w:t>
      </w:r>
    </w:p>
    <w:p w14:paraId="709616AD" w14:textId="73BDD27D" w:rsidR="00C23F9D" w:rsidRPr="00C23F9D" w:rsidRDefault="00C23F9D" w:rsidP="00C23F9D">
      <w:pPr>
        <w:rPr>
          <w:rFonts w:cs="Times New Roman"/>
        </w:rPr>
      </w:pPr>
      <w:r w:rsidRPr="00C23F9D">
        <w:rPr>
          <w:rFonts w:cs="Times New Roman"/>
          <w:u w:val="single"/>
        </w:rPr>
        <w:t>EIA’s Manufacturing Energy Consumption Survey (MECS)</w:t>
      </w:r>
      <w:r w:rsidRPr="00C23F9D">
        <w:rPr>
          <w:rFonts w:cs="Times New Roman"/>
        </w:rPr>
        <w:t xml:space="preserve">: The most recent data for end-use demand totals for process steam and space heating in </w:t>
      </w:r>
      <w:r w:rsidR="00DB1B4C">
        <w:rPr>
          <w:rFonts w:cs="Times New Roman"/>
        </w:rPr>
        <w:t xml:space="preserve">only </w:t>
      </w:r>
      <w:r w:rsidRPr="00C23F9D">
        <w:rPr>
          <w:rFonts w:cs="Times New Roman"/>
        </w:rPr>
        <w:t xml:space="preserve">the </w:t>
      </w:r>
      <w:r w:rsidRPr="00695864">
        <w:rPr>
          <w:rFonts w:cs="Times New Roman"/>
        </w:rPr>
        <w:t xml:space="preserve">manufacturing industries </w:t>
      </w:r>
      <w:r w:rsidRPr="00C23F9D">
        <w:rPr>
          <w:rFonts w:cs="Times New Roman"/>
        </w:rPr>
        <w:t>come from the 2010 MECS survey</w:t>
      </w:r>
      <w:r w:rsidR="009C264F">
        <w:rPr>
          <w:rFonts w:cs="Times New Roman"/>
        </w:rPr>
        <w:t xml:space="preserve"> (EIA 2010)</w:t>
      </w:r>
      <w:r w:rsidRPr="00C23F9D">
        <w:rPr>
          <w:rFonts w:cs="Times New Roman"/>
        </w:rPr>
        <w:t>. Agricultural uses—also classified as “industrial”—are not include</w:t>
      </w:r>
      <w:r w:rsidR="008D44B6">
        <w:rPr>
          <w:rFonts w:cs="Times New Roman"/>
        </w:rPr>
        <w:t>d</w:t>
      </w:r>
      <w:r w:rsidRPr="00C23F9D">
        <w:rPr>
          <w:rFonts w:cs="Times New Roman"/>
        </w:rPr>
        <w:t xml:space="preserve"> in the MECS. Process steam temperatures are variable and not are reported in</w:t>
      </w:r>
      <w:r w:rsidR="00181579">
        <w:rPr>
          <w:rFonts w:cs="Times New Roman"/>
        </w:rPr>
        <w:t xml:space="preserve"> the</w:t>
      </w:r>
      <w:r w:rsidRPr="00C23F9D">
        <w:rPr>
          <w:rFonts w:cs="Times New Roman"/>
        </w:rPr>
        <w:t xml:space="preserve"> MECS. Data are reported at the EIA-defined </w:t>
      </w:r>
      <w:r w:rsidRPr="00C23F9D">
        <w:rPr>
          <w:rFonts w:cs="Times New Roman"/>
          <w:i/>
        </w:rPr>
        <w:t>census region</w:t>
      </w:r>
      <w:r w:rsidRPr="00C23F9D">
        <w:rPr>
          <w:rFonts w:cs="Times New Roman"/>
        </w:rPr>
        <w:t xml:space="preserve"> level, of which there are four in the </w:t>
      </w:r>
      <w:r w:rsidR="008F7D6F">
        <w:rPr>
          <w:rFonts w:cs="Times New Roman"/>
        </w:rPr>
        <w:t>United States</w:t>
      </w:r>
      <w:r w:rsidRPr="00C23F9D">
        <w:rPr>
          <w:rFonts w:cs="Times New Roman"/>
        </w:rPr>
        <w:t xml:space="preserve">, each consisting of between nine and </w:t>
      </w:r>
      <w:r w:rsidR="00181579">
        <w:rPr>
          <w:rFonts w:cs="Times New Roman"/>
        </w:rPr>
        <w:t>17</w:t>
      </w:r>
      <w:r w:rsidR="00181579" w:rsidRPr="00C23F9D">
        <w:rPr>
          <w:rFonts w:cs="Times New Roman"/>
        </w:rPr>
        <w:t xml:space="preserve"> </w:t>
      </w:r>
      <w:r w:rsidRPr="00C23F9D">
        <w:rPr>
          <w:rFonts w:cs="Times New Roman"/>
        </w:rPr>
        <w:t>states.</w:t>
      </w:r>
    </w:p>
    <w:p w14:paraId="48F0EE6C" w14:textId="77777777" w:rsidR="00C23F9D" w:rsidRPr="00C23F9D" w:rsidRDefault="00C23F9D" w:rsidP="00C23F9D">
      <w:pPr>
        <w:rPr>
          <w:rFonts w:cs="Times New Roman"/>
        </w:rPr>
      </w:pPr>
    </w:p>
    <w:p w14:paraId="5DF77D93" w14:textId="594F0F33" w:rsidR="00C23F9D" w:rsidRDefault="00C23F9D" w:rsidP="00C23F9D">
      <w:pPr>
        <w:rPr>
          <w:rFonts w:cs="Times New Roman"/>
        </w:rPr>
      </w:pPr>
      <w:r w:rsidRPr="00C23F9D">
        <w:rPr>
          <w:rFonts w:cs="Times New Roman"/>
          <w:i/>
          <w:u w:val="single"/>
        </w:rPr>
        <w:t>Energy Analysis of 108 Industrial Processes</w:t>
      </w:r>
      <w:r w:rsidRPr="00C23F9D">
        <w:rPr>
          <w:rFonts w:cs="Times New Roman"/>
          <w:u w:val="single"/>
        </w:rPr>
        <w:t xml:space="preserve"> (Brown et al. </w:t>
      </w:r>
      <w:r w:rsidR="0044780C">
        <w:rPr>
          <w:rFonts w:cs="Times New Roman"/>
          <w:u w:val="single"/>
        </w:rPr>
        <w:t>1985</w:t>
      </w:r>
      <w:r w:rsidRPr="00C23F9D">
        <w:rPr>
          <w:rFonts w:cs="Times New Roman"/>
          <w:u w:val="single"/>
        </w:rPr>
        <w:t>)</w:t>
      </w:r>
      <w:r w:rsidRPr="00C23F9D">
        <w:rPr>
          <w:rFonts w:cs="Times New Roman"/>
        </w:rPr>
        <w:t>: This report, prepared by researchers at Drexel University for the DOE, gives detailed information about the 108 most energy-intensive processes</w:t>
      </w:r>
      <w:r w:rsidR="008D0717">
        <w:rPr>
          <w:rFonts w:cs="Times New Roman"/>
        </w:rPr>
        <w:t>, based on energy consumption reported in the 1976 Annual Survey of Manufacturers.</w:t>
      </w:r>
      <w:r w:rsidRPr="00C23F9D">
        <w:rPr>
          <w:rFonts w:cs="Times New Roman"/>
        </w:rPr>
        <w:t xml:space="preserve"> The report provides data for fluid temperatures, mass flows, and energy usage per industry-specific unit (</w:t>
      </w:r>
      <w:r w:rsidR="00417523">
        <w:rPr>
          <w:rFonts w:cs="Times New Roman"/>
        </w:rPr>
        <w:t xml:space="preserve">e.g., </w:t>
      </w:r>
      <w:r w:rsidR="008F7D6F">
        <w:rPr>
          <w:rFonts w:cs="Times New Roman"/>
        </w:rPr>
        <w:t>Btu</w:t>
      </w:r>
      <w:r w:rsidRPr="00C23F9D">
        <w:rPr>
          <w:rFonts w:cs="Times New Roman"/>
        </w:rPr>
        <w:t>/</w:t>
      </w:r>
      <w:r w:rsidR="00222842" w:rsidRPr="00C23F9D">
        <w:rPr>
          <w:rFonts w:cs="Times New Roman"/>
        </w:rPr>
        <w:t>lb.</w:t>
      </w:r>
      <w:r w:rsidRPr="00C23F9D">
        <w:rPr>
          <w:rFonts w:cs="Times New Roman"/>
        </w:rPr>
        <w:t>-product). These data were used to identify which industry processes could u</w:t>
      </w:r>
      <w:r w:rsidR="006360F9">
        <w:rPr>
          <w:rFonts w:cs="Times New Roman"/>
        </w:rPr>
        <w:t xml:space="preserve">se geothermal </w:t>
      </w:r>
      <w:r w:rsidR="009F4A6B">
        <w:rPr>
          <w:rFonts w:cs="Times New Roman"/>
        </w:rPr>
        <w:t xml:space="preserve">resources in the range of 30° to 150°C </w:t>
      </w:r>
      <w:r w:rsidR="006360F9">
        <w:rPr>
          <w:rFonts w:cs="Times New Roman"/>
        </w:rPr>
        <w:t>as a heat source.</w:t>
      </w:r>
    </w:p>
    <w:p w14:paraId="282CF249" w14:textId="77777777" w:rsidR="006360F9" w:rsidRDefault="006360F9" w:rsidP="00C23F9D">
      <w:pPr>
        <w:rPr>
          <w:rFonts w:cs="Times New Roman"/>
        </w:rPr>
      </w:pPr>
    </w:p>
    <w:p w14:paraId="5F57B58E" w14:textId="2DD04D82" w:rsidR="006360F9" w:rsidRDefault="006360F9" w:rsidP="00C23F9D">
      <w:pPr>
        <w:rPr>
          <w:rFonts w:cs="Times New Roman"/>
        </w:rPr>
      </w:pPr>
      <w:r>
        <w:rPr>
          <w:rFonts w:cs="Times New Roman"/>
          <w:u w:val="single"/>
        </w:rPr>
        <w:t>U.S. Census Bureau – County Business Patterns (CBP)</w:t>
      </w:r>
      <w:r>
        <w:rPr>
          <w:rFonts w:cs="Times New Roman"/>
        </w:rPr>
        <w:t>:</w:t>
      </w:r>
      <w:r w:rsidR="00F6554B">
        <w:rPr>
          <w:rFonts w:cs="Times New Roman"/>
        </w:rPr>
        <w:t xml:space="preserve"> </w:t>
      </w:r>
      <w:r w:rsidR="00C35180">
        <w:rPr>
          <w:rFonts w:cs="Times New Roman"/>
        </w:rPr>
        <w:t>The CBP is an</w:t>
      </w:r>
      <w:r w:rsidR="00F656BA">
        <w:rPr>
          <w:rFonts w:cs="Times New Roman"/>
        </w:rPr>
        <w:t xml:space="preserve"> annual series that provides subnational economic data by industry (</w:t>
      </w:r>
      <w:r w:rsidR="00417523">
        <w:rPr>
          <w:rFonts w:cs="Times New Roman"/>
        </w:rPr>
        <w:t xml:space="preserve">e.g., </w:t>
      </w:r>
      <w:r w:rsidR="000932F0">
        <w:rPr>
          <w:rFonts w:cs="Times New Roman"/>
        </w:rPr>
        <w:t>employment and payroll statistics</w:t>
      </w:r>
      <w:r w:rsidR="00F656BA">
        <w:rPr>
          <w:rFonts w:cs="Times New Roman"/>
        </w:rPr>
        <w:t>).</w:t>
      </w:r>
      <w:r w:rsidR="00633120">
        <w:rPr>
          <w:rFonts w:cs="Times New Roman"/>
        </w:rPr>
        <w:t xml:space="preserve"> The 2013 CBP </w:t>
      </w:r>
      <w:r w:rsidR="00AB1FA9">
        <w:rPr>
          <w:rFonts w:cs="Times New Roman"/>
        </w:rPr>
        <w:t xml:space="preserve">(U.S. Census Bureau 2013) </w:t>
      </w:r>
      <w:r w:rsidR="00633120">
        <w:rPr>
          <w:rFonts w:cs="Times New Roman"/>
        </w:rPr>
        <w:t xml:space="preserve">report provided data on the number of establishments </w:t>
      </w:r>
      <w:r w:rsidR="000932F0">
        <w:rPr>
          <w:rFonts w:cs="Times New Roman"/>
        </w:rPr>
        <w:t xml:space="preserve">of </w:t>
      </w:r>
      <w:r w:rsidR="000932F0">
        <w:rPr>
          <w:rFonts w:cs="Times New Roman"/>
        </w:rPr>
        <w:lastRenderedPageBreak/>
        <w:t>each industry (by 6-digit NAICS code</w:t>
      </w:r>
      <w:r w:rsidR="00CB2CEC">
        <w:rPr>
          <w:rStyle w:val="FootnoteReference"/>
          <w:rFonts w:cs="Times New Roman"/>
        </w:rPr>
        <w:footnoteReference w:id="3"/>
      </w:r>
      <w:r w:rsidR="000932F0">
        <w:rPr>
          <w:rFonts w:cs="Times New Roman"/>
        </w:rPr>
        <w:t>) at the county level.</w:t>
      </w:r>
      <w:r w:rsidR="00B85D9C">
        <w:rPr>
          <w:rFonts w:cs="Times New Roman"/>
        </w:rPr>
        <w:t xml:space="preserve"> Th</w:t>
      </w:r>
      <w:r w:rsidR="00C07EE2">
        <w:rPr>
          <w:rFonts w:cs="Times New Roman"/>
        </w:rPr>
        <w:t>e</w:t>
      </w:r>
      <w:r w:rsidR="00B85D9C">
        <w:rPr>
          <w:rFonts w:cs="Times New Roman"/>
        </w:rPr>
        <w:t>s</w:t>
      </w:r>
      <w:r w:rsidR="00C07EE2">
        <w:rPr>
          <w:rFonts w:cs="Times New Roman"/>
        </w:rPr>
        <w:t>e</w:t>
      </w:r>
      <w:r w:rsidR="00B85D9C">
        <w:rPr>
          <w:rFonts w:cs="Times New Roman"/>
        </w:rPr>
        <w:t xml:space="preserve"> data w</w:t>
      </w:r>
      <w:r w:rsidR="004F4F2C">
        <w:rPr>
          <w:rFonts w:cs="Times New Roman"/>
        </w:rPr>
        <w:t>ere</w:t>
      </w:r>
      <w:r w:rsidR="00B85D9C">
        <w:rPr>
          <w:rFonts w:cs="Times New Roman"/>
        </w:rPr>
        <w:t xml:space="preserve"> used to disaggregate the manufacturing sector thermal demand from the national level to the county level.</w:t>
      </w:r>
    </w:p>
    <w:p w14:paraId="70549BB2" w14:textId="77777777" w:rsidR="009C2E09" w:rsidRDefault="009C2E09" w:rsidP="00C23F9D">
      <w:pPr>
        <w:rPr>
          <w:rFonts w:cs="Times New Roman"/>
        </w:rPr>
      </w:pPr>
    </w:p>
    <w:p w14:paraId="78E5ED54" w14:textId="728ABCB0" w:rsidR="009C2E09" w:rsidRDefault="009C2E09" w:rsidP="00C23F9D">
      <w:pPr>
        <w:rPr>
          <w:rFonts w:cs="Times New Roman"/>
        </w:rPr>
      </w:pPr>
      <w:r>
        <w:rPr>
          <w:rFonts w:cs="Times New Roman"/>
          <w:b/>
        </w:rPr>
        <w:t>Agricultural Sector</w:t>
      </w:r>
    </w:p>
    <w:p w14:paraId="3CA2D556" w14:textId="681A0940" w:rsidR="009C2E09" w:rsidRDefault="00F811F7" w:rsidP="00C23F9D">
      <w:pPr>
        <w:rPr>
          <w:rFonts w:cs="Times New Roman"/>
        </w:rPr>
      </w:pPr>
      <w:r>
        <w:rPr>
          <w:rFonts w:cs="Times New Roman"/>
          <w:u w:val="single"/>
        </w:rPr>
        <w:t>USDA</w:t>
      </w:r>
      <w:r w:rsidR="009C2E09">
        <w:rPr>
          <w:rFonts w:cs="Times New Roman"/>
          <w:u w:val="single"/>
        </w:rPr>
        <w:t xml:space="preserve"> – Farm Production Expenditures</w:t>
      </w:r>
      <w:r w:rsidR="009C2E09">
        <w:rPr>
          <w:rFonts w:cs="Times New Roman"/>
        </w:rPr>
        <w:t>:</w:t>
      </w:r>
      <w:r w:rsidR="000500E1">
        <w:rPr>
          <w:rFonts w:cs="Times New Roman"/>
        </w:rPr>
        <w:t xml:space="preserve"> </w:t>
      </w:r>
      <w:r w:rsidR="0080138C">
        <w:rPr>
          <w:rFonts w:cs="Times New Roman"/>
        </w:rPr>
        <w:t>USDA produces a</w:t>
      </w:r>
      <w:r w:rsidR="000500E1">
        <w:rPr>
          <w:rFonts w:cs="Times New Roman"/>
        </w:rPr>
        <w:t xml:space="preserve">n annual summary released through the National Agricultural Statistics Service that contains annual estimates of farm production expenditures such as feed, farm services, </w:t>
      </w:r>
      <w:r w:rsidR="00C2610D">
        <w:rPr>
          <w:rFonts w:cs="Times New Roman"/>
        </w:rPr>
        <w:t>and labor. This study used the reported fuel expenditures for farm production regions to estimate energy consumption.</w:t>
      </w:r>
      <w:r w:rsidR="00465306">
        <w:rPr>
          <w:rFonts w:cs="Times New Roman"/>
        </w:rPr>
        <w:t xml:space="preserve"> Data from the 2012</w:t>
      </w:r>
      <w:r w:rsidR="00474FCF">
        <w:rPr>
          <w:rFonts w:cs="Times New Roman"/>
        </w:rPr>
        <w:t xml:space="preserve"> </w:t>
      </w:r>
      <w:r w:rsidR="00465306">
        <w:rPr>
          <w:rFonts w:cs="Times New Roman"/>
        </w:rPr>
        <w:t>release</w:t>
      </w:r>
      <w:r w:rsidR="00474FCF">
        <w:rPr>
          <w:rFonts w:cs="Times New Roman"/>
        </w:rPr>
        <w:t xml:space="preserve"> (USDA 20</w:t>
      </w:r>
      <w:r w:rsidR="0080138C">
        <w:rPr>
          <w:rFonts w:cs="Times New Roman"/>
        </w:rPr>
        <w:t>13</w:t>
      </w:r>
      <w:r w:rsidR="00474FCF">
        <w:rPr>
          <w:rFonts w:cs="Times New Roman"/>
        </w:rPr>
        <w:t xml:space="preserve">) </w:t>
      </w:r>
      <w:r w:rsidR="00465306">
        <w:rPr>
          <w:rFonts w:cs="Times New Roman"/>
        </w:rPr>
        <w:t xml:space="preserve">was used in conjunction with the 2012 Census. </w:t>
      </w:r>
    </w:p>
    <w:p w14:paraId="00CE1369" w14:textId="77777777" w:rsidR="00465306" w:rsidRDefault="00465306" w:rsidP="00C23F9D">
      <w:pPr>
        <w:rPr>
          <w:rFonts w:cs="Times New Roman"/>
        </w:rPr>
      </w:pPr>
    </w:p>
    <w:p w14:paraId="7CCB63BB" w14:textId="7460D306" w:rsidR="00465306" w:rsidRPr="00C07EE2" w:rsidRDefault="00465306" w:rsidP="00C23F9D">
      <w:pPr>
        <w:rPr>
          <w:rFonts w:cs="Times New Roman"/>
        </w:rPr>
      </w:pPr>
      <w:r>
        <w:rPr>
          <w:rFonts w:cs="Times New Roman"/>
          <w:u w:val="single"/>
        </w:rPr>
        <w:t>USDA – Census of Agriculture</w:t>
      </w:r>
      <w:r w:rsidR="00C07EE2">
        <w:rPr>
          <w:rFonts w:cs="Times New Roman"/>
        </w:rPr>
        <w:t xml:space="preserve">: </w:t>
      </w:r>
      <w:r w:rsidR="00782333">
        <w:rPr>
          <w:rFonts w:cs="Times New Roman"/>
        </w:rPr>
        <w:t xml:space="preserve">This USDA report is a </w:t>
      </w:r>
      <w:r w:rsidR="00C07EE2">
        <w:rPr>
          <w:rFonts w:cs="Times New Roman"/>
        </w:rPr>
        <w:t xml:space="preserve">comprehensive source of U.S. agricultural data, including statistics on land use and ownership, operator characteristics, and expenditures. </w:t>
      </w:r>
      <w:r w:rsidR="00FF0E93">
        <w:rPr>
          <w:rFonts w:cs="Times New Roman"/>
        </w:rPr>
        <w:t xml:space="preserve">The relevant data </w:t>
      </w:r>
      <w:r w:rsidR="00947ACE">
        <w:rPr>
          <w:rFonts w:cs="Times New Roman"/>
        </w:rPr>
        <w:t xml:space="preserve">from the most recent </w:t>
      </w:r>
      <w:r w:rsidR="000F1D4A">
        <w:rPr>
          <w:rFonts w:cs="Times New Roman"/>
        </w:rPr>
        <w:t>c</w:t>
      </w:r>
      <w:r w:rsidR="00FF0E93">
        <w:rPr>
          <w:rFonts w:cs="Times New Roman"/>
        </w:rPr>
        <w:t>ensus</w:t>
      </w:r>
      <w:r w:rsidR="00947ACE">
        <w:rPr>
          <w:rFonts w:cs="Times New Roman"/>
        </w:rPr>
        <w:t xml:space="preserve"> (</w:t>
      </w:r>
      <w:r w:rsidR="00474FCF">
        <w:rPr>
          <w:rFonts w:cs="Times New Roman"/>
        </w:rPr>
        <w:t xml:space="preserve">USDA </w:t>
      </w:r>
      <w:r w:rsidR="00947ACE">
        <w:rPr>
          <w:rFonts w:cs="Times New Roman"/>
        </w:rPr>
        <w:t>2012)</w:t>
      </w:r>
      <w:r w:rsidR="00FF0E93">
        <w:rPr>
          <w:rFonts w:cs="Times New Roman"/>
        </w:rPr>
        <w:t xml:space="preserve"> were the farm totals at the county level, which were used to disaggregate demand at the regional</w:t>
      </w:r>
      <w:r w:rsidR="00555B0D">
        <w:rPr>
          <w:rFonts w:cs="Times New Roman"/>
        </w:rPr>
        <w:t xml:space="preserve"> and state</w:t>
      </w:r>
      <w:r w:rsidR="00FF0E93">
        <w:rPr>
          <w:rFonts w:cs="Times New Roman"/>
        </w:rPr>
        <w:t xml:space="preserve"> level.</w:t>
      </w:r>
    </w:p>
    <w:p w14:paraId="37D2C999" w14:textId="77777777" w:rsidR="00C23F9D" w:rsidRDefault="00C23F9D" w:rsidP="00121D8F">
      <w:pPr>
        <w:rPr>
          <w:rFonts w:cs="Times New Roman"/>
        </w:rPr>
      </w:pPr>
    </w:p>
    <w:p w14:paraId="05033ECE" w14:textId="4912C21D" w:rsidR="00704663" w:rsidRDefault="003F7457" w:rsidP="00121D8F">
      <w:pPr>
        <w:rPr>
          <w:rFonts w:cs="Times New Roman"/>
          <w:b/>
          <w:sz w:val="28"/>
        </w:rPr>
      </w:pPr>
      <w:r>
        <w:rPr>
          <w:rFonts w:cs="Times New Roman"/>
          <w:b/>
          <w:sz w:val="28"/>
        </w:rPr>
        <w:t>Methodology</w:t>
      </w:r>
    </w:p>
    <w:p w14:paraId="43F15944" w14:textId="456119A5" w:rsidR="00915A5B" w:rsidRDefault="00915A5B" w:rsidP="00915A5B">
      <w:pPr>
        <w:rPr>
          <w:rFonts w:cs="Times New Roman"/>
        </w:rPr>
      </w:pPr>
      <w:r w:rsidRPr="00915A5B">
        <w:rPr>
          <w:rFonts w:cs="Times New Roman"/>
        </w:rPr>
        <w:t>The demand analyses for the residential and commercial sectors include disaggregating thermal demand totals at higher levels of reporting (</w:t>
      </w:r>
      <w:r w:rsidR="00417523">
        <w:rPr>
          <w:rFonts w:cs="Times New Roman"/>
        </w:rPr>
        <w:t xml:space="preserve">e.g., </w:t>
      </w:r>
      <w:r w:rsidRPr="00915A5B">
        <w:rPr>
          <w:rFonts w:cs="Times New Roman"/>
        </w:rPr>
        <w:t xml:space="preserve">state, census division) to </w:t>
      </w:r>
      <w:r w:rsidR="00013B58">
        <w:rPr>
          <w:rFonts w:cs="Times New Roman"/>
        </w:rPr>
        <w:t>the</w:t>
      </w:r>
      <w:r w:rsidRPr="00915A5B">
        <w:rPr>
          <w:rFonts w:cs="Times New Roman"/>
        </w:rPr>
        <w:t xml:space="preserve"> county level. This allow</w:t>
      </w:r>
      <w:r w:rsidR="008D44B6">
        <w:rPr>
          <w:rFonts w:cs="Times New Roman"/>
        </w:rPr>
        <w:t>s</w:t>
      </w:r>
      <w:r w:rsidRPr="00915A5B">
        <w:rPr>
          <w:rFonts w:cs="Times New Roman"/>
        </w:rPr>
        <w:t xml:space="preserve"> for more localized technical </w:t>
      </w:r>
      <w:r w:rsidR="00AD1E97">
        <w:rPr>
          <w:rFonts w:cs="Times New Roman"/>
        </w:rPr>
        <w:t>and market potential analyse</w:t>
      </w:r>
      <w:r w:rsidRPr="00915A5B">
        <w:rPr>
          <w:rFonts w:cs="Times New Roman"/>
        </w:rPr>
        <w:t xml:space="preserve">s to be carried out </w:t>
      </w:r>
      <w:r w:rsidR="00060950">
        <w:rPr>
          <w:rFonts w:cs="Times New Roman"/>
        </w:rPr>
        <w:t>by NREL’s geo-spatial analysis team</w:t>
      </w:r>
      <w:r w:rsidR="00AD1E97">
        <w:rPr>
          <w:rFonts w:cs="Times New Roman"/>
        </w:rPr>
        <w:t xml:space="preserve"> using dGeo; these analyses will be</w:t>
      </w:r>
      <w:r w:rsidR="001A768A">
        <w:rPr>
          <w:rFonts w:cs="Times New Roman"/>
        </w:rPr>
        <w:t xml:space="preserve"> key product</w:t>
      </w:r>
      <w:r w:rsidR="00AD1E97">
        <w:rPr>
          <w:rFonts w:cs="Times New Roman"/>
        </w:rPr>
        <w:t>s</w:t>
      </w:r>
      <w:r w:rsidR="001A768A">
        <w:rPr>
          <w:rFonts w:cs="Times New Roman"/>
        </w:rPr>
        <w:t xml:space="preserve"> of the </w:t>
      </w:r>
      <w:r w:rsidR="008D44B6">
        <w:rPr>
          <w:rFonts w:cs="Times New Roman"/>
        </w:rPr>
        <w:t>GVS</w:t>
      </w:r>
      <w:r w:rsidRPr="00915A5B">
        <w:rPr>
          <w:rFonts w:cs="Times New Roman"/>
        </w:rPr>
        <w:t xml:space="preserve">. </w:t>
      </w:r>
      <w:r w:rsidR="00CB5AE8">
        <w:rPr>
          <w:rFonts w:cs="Times New Roman"/>
        </w:rPr>
        <w:t xml:space="preserve">The </w:t>
      </w:r>
      <w:r w:rsidR="00060950">
        <w:rPr>
          <w:rFonts w:cs="Times New Roman"/>
        </w:rPr>
        <w:t>manufacturing</w:t>
      </w:r>
      <w:r w:rsidR="00CB5AE8">
        <w:rPr>
          <w:rFonts w:cs="Times New Roman"/>
        </w:rPr>
        <w:t xml:space="preserve"> analysis follows a similar approach, with nationwide totals for process heat being disaggregated to the county level. However, the</w:t>
      </w:r>
      <w:r w:rsidR="00060950">
        <w:rPr>
          <w:rFonts w:cs="Times New Roman"/>
        </w:rPr>
        <w:t xml:space="preserve"> manufacturing</w:t>
      </w:r>
      <w:r w:rsidR="00CB5AE8">
        <w:rPr>
          <w:rFonts w:cs="Times New Roman"/>
        </w:rPr>
        <w:t xml:space="preserve"> analysis must undergo an intermediate step to combine available data on process </w:t>
      </w:r>
      <w:r w:rsidR="00B857DA">
        <w:rPr>
          <w:rFonts w:cs="Times New Roman"/>
        </w:rPr>
        <w:t xml:space="preserve">heat </w:t>
      </w:r>
      <w:r w:rsidR="00CB5AE8">
        <w:rPr>
          <w:rFonts w:cs="Times New Roman"/>
        </w:rPr>
        <w:t xml:space="preserve">temperatures </w:t>
      </w:r>
      <w:r w:rsidR="00AC387B">
        <w:rPr>
          <w:rFonts w:cs="Times New Roman"/>
        </w:rPr>
        <w:t>to filter industries based on the temperature bounds of the study</w:t>
      </w:r>
      <w:r w:rsidR="000B3E45">
        <w:rPr>
          <w:rFonts w:cs="Times New Roman"/>
        </w:rPr>
        <w:t>.</w:t>
      </w:r>
      <w:r w:rsidR="00AC388A">
        <w:rPr>
          <w:rFonts w:cs="Times New Roman"/>
        </w:rPr>
        <w:t xml:space="preserve"> The agricultural analysis uses fuel expenditure data combined with fuel prices and energy density values to estimate total energy consumption at the county level. Further analysis of the greenhouse subsector utilizes typical greenhouse energy consumption statistics to estimate the thermal demand. Research into energy consumption in other subsectors</w:t>
      </w:r>
      <w:r w:rsidR="00C71570">
        <w:rPr>
          <w:rFonts w:cs="Times New Roman"/>
        </w:rPr>
        <w:t xml:space="preserve"> (</w:t>
      </w:r>
      <w:r w:rsidR="00417523">
        <w:rPr>
          <w:rFonts w:cs="Times New Roman"/>
        </w:rPr>
        <w:t xml:space="preserve">e.g., </w:t>
      </w:r>
      <w:r w:rsidR="00C71570">
        <w:rPr>
          <w:rFonts w:cs="Times New Roman"/>
        </w:rPr>
        <w:t>aquaculture, poultry production)</w:t>
      </w:r>
      <w:r w:rsidR="00AC388A">
        <w:rPr>
          <w:rFonts w:cs="Times New Roman"/>
        </w:rPr>
        <w:t xml:space="preserve"> is </w:t>
      </w:r>
      <w:r w:rsidR="00013B58">
        <w:rPr>
          <w:rFonts w:cs="Times New Roman"/>
        </w:rPr>
        <w:t>suggested as future work to supplement the analysis in this paper.</w:t>
      </w:r>
    </w:p>
    <w:p w14:paraId="4BDCCCEB" w14:textId="77777777" w:rsidR="00915A5B" w:rsidRDefault="00915A5B" w:rsidP="00915A5B">
      <w:pPr>
        <w:rPr>
          <w:rFonts w:cs="Times New Roman"/>
        </w:rPr>
      </w:pPr>
    </w:p>
    <w:p w14:paraId="70AE312E" w14:textId="65A19B6F" w:rsidR="00915A5B" w:rsidRDefault="00915A5B" w:rsidP="00915A5B">
      <w:pPr>
        <w:rPr>
          <w:rFonts w:cs="Times New Roman"/>
        </w:rPr>
      </w:pPr>
      <w:r>
        <w:rPr>
          <w:rFonts w:cs="Times New Roman"/>
          <w:b/>
        </w:rPr>
        <w:t>Residential Sector</w:t>
      </w:r>
    </w:p>
    <w:p w14:paraId="6C2D6F2B" w14:textId="54E068BE" w:rsidR="00915A5B" w:rsidRPr="00915A5B" w:rsidRDefault="00915A5B" w:rsidP="00915A5B">
      <w:pPr>
        <w:rPr>
          <w:rFonts w:cs="Times New Roman"/>
        </w:rPr>
      </w:pPr>
      <w:r w:rsidRPr="00915A5B">
        <w:rPr>
          <w:rFonts w:cs="Times New Roman"/>
        </w:rPr>
        <w:t>The ACS housing-unit totals at the state and county levels were used to disaggregate the thermal demand totals using a weighting process (</w:t>
      </w:r>
      <w:r w:rsidR="009842B0">
        <w:rPr>
          <w:rFonts w:cs="Times New Roman"/>
        </w:rPr>
        <w:fldChar w:fldCharType="begin"/>
      </w:r>
      <w:r w:rsidR="009842B0">
        <w:rPr>
          <w:rFonts w:cs="Times New Roman"/>
        </w:rPr>
        <w:instrText xml:space="preserve"> REF _Ref322771280 \h </w:instrText>
      </w:r>
      <w:r w:rsidR="009842B0">
        <w:rPr>
          <w:rFonts w:cs="Times New Roman"/>
        </w:rPr>
      </w:r>
      <w:r w:rsidR="009842B0">
        <w:rPr>
          <w:rFonts w:cs="Times New Roman"/>
        </w:rPr>
        <w:fldChar w:fldCharType="separate"/>
      </w:r>
      <w:r w:rsidR="00244063" w:rsidRPr="00A15D31">
        <w:rPr>
          <w:rFonts w:cs="Times New Roman"/>
        </w:rPr>
        <w:t xml:space="preserve">Table </w:t>
      </w:r>
      <w:r w:rsidR="00244063">
        <w:rPr>
          <w:rFonts w:cs="Times New Roman"/>
          <w:noProof/>
        </w:rPr>
        <w:t>2</w:t>
      </w:r>
      <w:r w:rsidR="009842B0">
        <w:rPr>
          <w:rFonts w:cs="Times New Roman"/>
        </w:rPr>
        <w:fldChar w:fldCharType="end"/>
      </w:r>
      <w:r w:rsidR="009842B0">
        <w:rPr>
          <w:rFonts w:cs="Times New Roman"/>
        </w:rPr>
        <w:t xml:space="preserve">). </w:t>
      </w:r>
      <w:r w:rsidRPr="00915A5B">
        <w:rPr>
          <w:rFonts w:cs="Times New Roman"/>
        </w:rPr>
        <w:t xml:space="preserve">County weights were calculated based on the proportion of each </w:t>
      </w:r>
      <w:r w:rsidRPr="00915A5B">
        <w:rPr>
          <w:rFonts w:cs="Times New Roman"/>
          <w:i/>
        </w:rPr>
        <w:t>county</w:t>
      </w:r>
      <w:r w:rsidR="00B857DA">
        <w:rPr>
          <w:rFonts w:cs="Times New Roman"/>
          <w:i/>
        </w:rPr>
        <w:t>’s</w:t>
      </w:r>
      <w:r w:rsidRPr="00915A5B">
        <w:rPr>
          <w:rFonts w:cs="Times New Roman"/>
        </w:rPr>
        <w:t xml:space="preserve"> housing unit total to the </w:t>
      </w:r>
      <w:r w:rsidRPr="00915A5B">
        <w:rPr>
          <w:rFonts w:cs="Times New Roman"/>
          <w:i/>
        </w:rPr>
        <w:t>state/reportable domain</w:t>
      </w:r>
      <w:r w:rsidRPr="00915A5B">
        <w:rPr>
          <w:rFonts w:cs="Times New Roman"/>
        </w:rPr>
        <w:t xml:space="preserve"> total. For example, ACS reported that Autauga County, Alabama</w:t>
      </w:r>
      <w:r w:rsidR="00C45FB9">
        <w:rPr>
          <w:rFonts w:cs="Times New Roman"/>
        </w:rPr>
        <w:t>,</w:t>
      </w:r>
      <w:r w:rsidRPr="00915A5B">
        <w:rPr>
          <w:rFonts w:cs="Times New Roman"/>
        </w:rPr>
        <w:t xml:space="preserve"> had 1.02% (22,220 housing units) of the total Alabama housing units (2,178,116 houses). Therefore, 1.02% (0.91 </w:t>
      </w:r>
      <w:r w:rsidR="00C45FB9">
        <w:rPr>
          <w:rFonts w:cs="Times New Roman"/>
        </w:rPr>
        <w:t>t</w:t>
      </w:r>
      <w:r w:rsidR="00C45FB9" w:rsidRPr="00915A5B">
        <w:rPr>
          <w:rFonts w:cs="Times New Roman"/>
        </w:rPr>
        <w:t xml:space="preserve">rillion </w:t>
      </w:r>
      <w:r w:rsidR="008F7D6F">
        <w:rPr>
          <w:rFonts w:cs="Times New Roman"/>
        </w:rPr>
        <w:t>Btu</w:t>
      </w:r>
      <w:r w:rsidRPr="00915A5B">
        <w:rPr>
          <w:rFonts w:cs="Times New Roman"/>
        </w:rPr>
        <w:t xml:space="preserve">) of the residential thermal demand for Alabama (69.59 </w:t>
      </w:r>
      <w:r w:rsidR="00C45FB9">
        <w:rPr>
          <w:rFonts w:cs="Times New Roman"/>
        </w:rPr>
        <w:t>t</w:t>
      </w:r>
      <w:r w:rsidR="00C45FB9" w:rsidRPr="00915A5B">
        <w:rPr>
          <w:rFonts w:cs="Times New Roman"/>
        </w:rPr>
        <w:t xml:space="preserve">rillion </w:t>
      </w:r>
      <w:r w:rsidR="008F7D6F">
        <w:rPr>
          <w:rFonts w:cs="Times New Roman"/>
        </w:rPr>
        <w:t>Btu</w:t>
      </w:r>
      <w:r w:rsidRPr="00915A5B">
        <w:rPr>
          <w:rFonts w:cs="Times New Roman"/>
        </w:rPr>
        <w:t>) w</w:t>
      </w:r>
      <w:r w:rsidR="00B857DA">
        <w:rPr>
          <w:rFonts w:cs="Times New Roman"/>
        </w:rPr>
        <w:t>ould be</w:t>
      </w:r>
      <w:r w:rsidRPr="00915A5B">
        <w:rPr>
          <w:rFonts w:cs="Times New Roman"/>
        </w:rPr>
        <w:t xml:space="preserve"> attributed to Autauga County.</w:t>
      </w:r>
    </w:p>
    <w:p w14:paraId="260EADF9" w14:textId="77777777" w:rsidR="00915A5B" w:rsidRPr="00915A5B" w:rsidRDefault="00915A5B" w:rsidP="00915A5B">
      <w:pPr>
        <w:rPr>
          <w:rFonts w:cs="Times New Roman"/>
        </w:rPr>
      </w:pPr>
    </w:p>
    <w:p w14:paraId="1C34EBEC" w14:textId="55E9A14F" w:rsidR="00915A5B" w:rsidRPr="00915A5B" w:rsidRDefault="00B857DA" w:rsidP="00915A5B">
      <w:pPr>
        <w:rPr>
          <w:rFonts w:cs="Times New Roman"/>
        </w:rPr>
      </w:pPr>
      <w:r>
        <w:rPr>
          <w:rFonts w:cs="Times New Roman"/>
        </w:rPr>
        <w:t>However, i</w:t>
      </w:r>
      <w:r w:rsidR="00915A5B" w:rsidRPr="00915A5B">
        <w:rPr>
          <w:rFonts w:cs="Times New Roman"/>
        </w:rPr>
        <w:t>nitial analysis indicated that the thermal demand might not be properly allocated by disaggregating from the reportable domain level (states) alone, especially in areas where climate plays a more substantial role. For example, demand in the greater Los Angeles area appeared to be unnaturally high for a region with a warmer climate. Intuition would dictate that regions with warmer climates would require less space heating and potentially less water heating as well.</w:t>
      </w:r>
    </w:p>
    <w:p w14:paraId="354B74A2" w14:textId="77777777" w:rsidR="00915A5B" w:rsidRPr="00915A5B" w:rsidRDefault="00915A5B" w:rsidP="00915A5B">
      <w:pPr>
        <w:rPr>
          <w:rFonts w:cs="Times New Roman"/>
        </w:rPr>
      </w:pPr>
    </w:p>
    <w:p w14:paraId="7A7DDD84" w14:textId="7C767F83" w:rsidR="005923DF" w:rsidRDefault="00915A5B" w:rsidP="00915A5B">
      <w:pPr>
        <w:rPr>
          <w:rFonts w:cs="Times New Roman"/>
        </w:rPr>
      </w:pPr>
      <w:r w:rsidRPr="00915A5B">
        <w:rPr>
          <w:rFonts w:cs="Times New Roman"/>
        </w:rPr>
        <w:t xml:space="preserve">To rectify this, demand totals were disaggregated from a cross-section of both </w:t>
      </w:r>
      <w:r w:rsidRPr="00A15D31">
        <w:rPr>
          <w:rFonts w:cs="Times New Roman"/>
          <w:i/>
        </w:rPr>
        <w:t>reportable domain</w:t>
      </w:r>
      <w:r w:rsidRPr="00915A5B">
        <w:rPr>
          <w:rFonts w:cs="Times New Roman"/>
        </w:rPr>
        <w:t xml:space="preserve"> and </w:t>
      </w:r>
      <w:r w:rsidRPr="00A15D31">
        <w:rPr>
          <w:rFonts w:cs="Times New Roman"/>
          <w:i/>
        </w:rPr>
        <w:t>climate region</w:t>
      </w:r>
      <w:r w:rsidRPr="00915A5B">
        <w:rPr>
          <w:rFonts w:cs="Times New Roman"/>
        </w:rPr>
        <w:t xml:space="preserve"> distinctions. These totals were then further disaggregated to the county level for further analysis. For example, California </w:t>
      </w:r>
      <w:r w:rsidR="002D6F01">
        <w:rPr>
          <w:rFonts w:cs="Times New Roman"/>
        </w:rPr>
        <w:t>as an individual state is a</w:t>
      </w:r>
      <w:r w:rsidRPr="00915A5B">
        <w:rPr>
          <w:rFonts w:cs="Times New Roman"/>
        </w:rPr>
        <w:t xml:space="preserve"> reportable domain and is composed of two climate regions, “Hot-Dry/Mixed-Dry” and “Marine.” </w:t>
      </w:r>
      <w:r w:rsidR="005923DF">
        <w:rPr>
          <w:rFonts w:cs="Times New Roman"/>
        </w:rPr>
        <w:t xml:space="preserve">Our procedure grouped the counties within each climate region and summed the county demand in each group. The demand for the counties within the “Hot-Dry/Mixed-Dry” climate region summed to 141 trillion </w:t>
      </w:r>
      <w:r w:rsidR="008F7D6F">
        <w:rPr>
          <w:rFonts w:cs="Times New Roman"/>
        </w:rPr>
        <w:t>Btu</w:t>
      </w:r>
      <w:r w:rsidR="005923DF">
        <w:rPr>
          <w:rFonts w:cs="Times New Roman"/>
        </w:rPr>
        <w:t xml:space="preserve">. Similarly, the demand for the counties within the “Marine” climate region summed </w:t>
      </w:r>
      <w:r w:rsidR="002D6F01">
        <w:rPr>
          <w:rFonts w:cs="Times New Roman"/>
        </w:rPr>
        <w:t xml:space="preserve">to 58 trillion </w:t>
      </w:r>
      <w:r w:rsidR="008F7D6F">
        <w:rPr>
          <w:rFonts w:cs="Times New Roman"/>
        </w:rPr>
        <w:t>Btu</w:t>
      </w:r>
      <w:r w:rsidR="002D6F01">
        <w:rPr>
          <w:rFonts w:cs="Times New Roman"/>
        </w:rPr>
        <w:t xml:space="preserve">. The housing </w:t>
      </w:r>
      <w:r w:rsidR="00055EC9">
        <w:rPr>
          <w:rFonts w:cs="Times New Roman"/>
        </w:rPr>
        <w:t xml:space="preserve">unit </w:t>
      </w:r>
      <w:r w:rsidR="002D6F01">
        <w:rPr>
          <w:rFonts w:cs="Times New Roman"/>
        </w:rPr>
        <w:t xml:space="preserve">totals within each climate zone are </w:t>
      </w:r>
      <w:r w:rsidR="00055EC9">
        <w:rPr>
          <w:rFonts w:cs="Times New Roman"/>
        </w:rPr>
        <w:t xml:space="preserve">then </w:t>
      </w:r>
      <w:r w:rsidR="002D6F01">
        <w:rPr>
          <w:rFonts w:cs="Times New Roman"/>
        </w:rPr>
        <w:t>summed and used in conjunction with individual county totals in the disaggregation procedure.</w:t>
      </w:r>
    </w:p>
    <w:p w14:paraId="106BECD3" w14:textId="77777777" w:rsidR="00915A5B" w:rsidRPr="00915A5B" w:rsidRDefault="00915A5B" w:rsidP="00915A5B">
      <w:pPr>
        <w:rPr>
          <w:rFonts w:cs="Times New Roman"/>
        </w:rPr>
      </w:pPr>
    </w:p>
    <w:p w14:paraId="1769189F" w14:textId="6906B069" w:rsidR="00915A5B" w:rsidRDefault="00915A5B" w:rsidP="00915A5B">
      <w:pPr>
        <w:rPr>
          <w:rFonts w:cs="Times New Roman"/>
        </w:rPr>
      </w:pPr>
      <w:r w:rsidRPr="00915A5B">
        <w:rPr>
          <w:rFonts w:cs="Times New Roman"/>
        </w:rPr>
        <w:t xml:space="preserve">The simplified expressions below help to illustrate the procedure used to calculate weighting factors for each county. The ACS data give housing unit totals for each county in the United States. These values are summed within their </w:t>
      </w:r>
      <w:r w:rsidRPr="00A15D31">
        <w:rPr>
          <w:rFonts w:cs="Times New Roman"/>
          <w:i/>
        </w:rPr>
        <w:t>reportable domain-climate region</w:t>
      </w:r>
      <w:r w:rsidRPr="00915A5B">
        <w:rPr>
          <w:rFonts w:cs="Times New Roman"/>
        </w:rPr>
        <w:t xml:space="preserve"> (RD-CR)</w:t>
      </w:r>
      <w:r w:rsidR="004D3128" w:rsidRPr="004D3128">
        <w:rPr>
          <w:rFonts w:cs="Times New Roman"/>
        </w:rPr>
        <w:t xml:space="preserve"> </w:t>
      </w:r>
      <w:r w:rsidR="004D3128" w:rsidRPr="00915A5B">
        <w:rPr>
          <w:rFonts w:cs="Times New Roman"/>
        </w:rPr>
        <w:t>distinction</w:t>
      </w:r>
      <w:r w:rsidRPr="00915A5B">
        <w:rPr>
          <w:rFonts w:cs="Times New Roman"/>
        </w:rPr>
        <w:t xml:space="preserve"> to give the RD-CR total housing units. Then, the county</w:t>
      </w:r>
      <w:r w:rsidR="006C0C46">
        <w:rPr>
          <w:rFonts w:cs="Times New Roman"/>
        </w:rPr>
        <w:t>-</w:t>
      </w:r>
      <w:r w:rsidRPr="00915A5B">
        <w:rPr>
          <w:rFonts w:cs="Times New Roman"/>
        </w:rPr>
        <w:t>level total is divided by this RD-CR total to calculate a county weight (Eq. 1). This weight can then be multiplied by the demand from the RECS for the corresponding RD-CR to give the estimated county-level demand (Eq. 2).</w:t>
      </w:r>
    </w:p>
    <w:p w14:paraId="42B022A5" w14:textId="77777777" w:rsidR="00915A5B" w:rsidRPr="00915A5B" w:rsidRDefault="00915A5B" w:rsidP="00915A5B">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612"/>
        <w:gridCol w:w="496"/>
      </w:tblGrid>
      <w:tr w:rsidR="00915A5B" w:rsidRPr="00915A5B" w14:paraId="09029238" w14:textId="77777777" w:rsidTr="006B7709">
        <w:tc>
          <w:tcPr>
            <w:tcW w:w="468" w:type="dxa"/>
            <w:vAlign w:val="center"/>
          </w:tcPr>
          <w:p w14:paraId="7A67B061" w14:textId="77777777" w:rsidR="00915A5B" w:rsidRPr="00915A5B" w:rsidRDefault="00915A5B" w:rsidP="006B7709">
            <w:pPr>
              <w:jc w:val="center"/>
              <w:rPr>
                <w:sz w:val="20"/>
              </w:rPr>
            </w:pPr>
          </w:p>
        </w:tc>
        <w:tc>
          <w:tcPr>
            <w:tcW w:w="8612" w:type="dxa"/>
            <w:vAlign w:val="center"/>
          </w:tcPr>
          <w:p w14:paraId="76E683DA" w14:textId="77777777" w:rsidR="00915A5B" w:rsidRPr="00915A5B" w:rsidRDefault="003C6770" w:rsidP="006B7709">
            <w:pPr>
              <w:jc w:val="center"/>
              <w:rPr>
                <w:sz w:val="20"/>
              </w:rPr>
            </w:pPr>
            <m:oMathPara>
              <m:oMath>
                <m:sSub>
                  <m:sSubPr>
                    <m:ctrlPr>
                      <w:rPr>
                        <w:rFonts w:ascii="Cambria Math" w:hAnsi="Cambria Math"/>
                        <w:i/>
                        <w:sz w:val="20"/>
                      </w:rPr>
                    </m:ctrlPr>
                  </m:sSub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County</m:t>
                            </m:r>
                          </m:num>
                          <m:den>
                            <m:r>
                              <w:rPr>
                                <w:rFonts w:ascii="Cambria Math" w:hAnsi="Cambria Math"/>
                                <w:sz w:val="20"/>
                              </w:rPr>
                              <m:t>RD</m:t>
                            </m:r>
                            <m:r>
                              <m:rPr>
                                <m:nor/>
                              </m:rPr>
                              <w:rPr>
                                <w:rFonts w:ascii="Cambria Math" w:hAnsi="Cambria Math"/>
                                <w:sz w:val="20"/>
                              </w:rPr>
                              <m:t>-</m:t>
                            </m:r>
                            <m:r>
                              <w:rPr>
                                <w:rFonts w:ascii="Cambria Math" w:hAnsi="Cambria Math"/>
                                <w:sz w:val="20"/>
                              </w:rPr>
                              <m:t>CR Total</m:t>
                            </m:r>
                          </m:den>
                        </m:f>
                      </m:e>
                    </m:d>
                  </m:e>
                  <m:sub>
                    <m:r>
                      <w:rPr>
                        <w:rFonts w:ascii="Cambria Math" w:hAnsi="Cambria Math"/>
                        <w:sz w:val="20"/>
                      </w:rPr>
                      <m:t>Housing Units</m:t>
                    </m:r>
                  </m:sub>
                </m:sSub>
                <m:r>
                  <w:rPr>
                    <w:rFonts w:ascii="Cambria Math" w:hAnsi="Cambria Math"/>
                    <w:sz w:val="20"/>
                  </w:rPr>
                  <m:t>=County Weight</m:t>
                </m:r>
              </m:oMath>
            </m:oMathPara>
          </w:p>
        </w:tc>
        <w:tc>
          <w:tcPr>
            <w:tcW w:w="496" w:type="dxa"/>
            <w:vAlign w:val="center"/>
          </w:tcPr>
          <w:p w14:paraId="045D43E6" w14:textId="77777777" w:rsidR="00915A5B" w:rsidRPr="004D3128" w:rsidRDefault="00915A5B" w:rsidP="006B7709">
            <w:pPr>
              <w:jc w:val="center"/>
            </w:pPr>
            <w:r w:rsidRPr="004D3128">
              <w:t>(1)</w:t>
            </w:r>
          </w:p>
        </w:tc>
      </w:tr>
    </w:tbl>
    <w:p w14:paraId="79E148DA" w14:textId="77777777" w:rsidR="004D2F22" w:rsidRDefault="004D2F22" w:rsidP="00121D8F">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612"/>
        <w:gridCol w:w="496"/>
      </w:tblGrid>
      <w:tr w:rsidR="00915A5B" w:rsidRPr="00915A5B" w14:paraId="6670DBAC" w14:textId="77777777" w:rsidTr="006B7709">
        <w:tc>
          <w:tcPr>
            <w:tcW w:w="468" w:type="dxa"/>
            <w:vAlign w:val="center"/>
          </w:tcPr>
          <w:p w14:paraId="0A3B091A" w14:textId="77777777" w:rsidR="00915A5B" w:rsidRPr="00915A5B" w:rsidRDefault="00915A5B" w:rsidP="006B7709">
            <w:pPr>
              <w:jc w:val="center"/>
              <w:rPr>
                <w:sz w:val="20"/>
              </w:rPr>
            </w:pPr>
          </w:p>
        </w:tc>
        <w:tc>
          <w:tcPr>
            <w:tcW w:w="8612" w:type="dxa"/>
            <w:vAlign w:val="center"/>
          </w:tcPr>
          <w:p w14:paraId="15D8D84B" w14:textId="77777777" w:rsidR="00915A5B" w:rsidRPr="00915A5B" w:rsidRDefault="003C6770" w:rsidP="006B7709">
            <w:pPr>
              <w:jc w:val="center"/>
              <w:rPr>
                <w:sz w:val="20"/>
              </w:rPr>
            </w:pPr>
            <m:oMathPara>
              <m:oMath>
                <m:d>
                  <m:dPr>
                    <m:ctrlPr>
                      <w:rPr>
                        <w:rFonts w:ascii="Cambria Math" w:hAnsi="Cambria Math"/>
                        <w:i/>
                        <w:sz w:val="20"/>
                      </w:rPr>
                    </m:ctrlPr>
                  </m:dPr>
                  <m:e>
                    <m:r>
                      <w:rPr>
                        <w:rFonts w:ascii="Cambria Math" w:hAnsi="Cambria Math"/>
                        <w:sz w:val="20"/>
                      </w:rPr>
                      <m:t>County Weight</m:t>
                    </m:r>
                  </m:e>
                </m:d>
                <m:r>
                  <w:rPr>
                    <w:rFonts w:ascii="Cambria Math" w:hAnsi="Cambria Math"/>
                    <w:sz w:val="20"/>
                  </w:rPr>
                  <m:t>*</m:t>
                </m:r>
                <m:d>
                  <m:dPr>
                    <m:ctrlPr>
                      <w:rPr>
                        <w:rFonts w:ascii="Cambria Math" w:hAnsi="Cambria Math"/>
                        <w:i/>
                        <w:sz w:val="20"/>
                      </w:rPr>
                    </m:ctrlPr>
                  </m:dPr>
                  <m:e>
                    <m:r>
                      <w:rPr>
                        <w:rFonts w:ascii="Cambria Math" w:hAnsi="Cambria Math"/>
                        <w:sz w:val="20"/>
                      </w:rPr>
                      <m:t>RD</m:t>
                    </m:r>
                    <m:r>
                      <m:rPr>
                        <m:nor/>
                      </m:rPr>
                      <w:rPr>
                        <w:rFonts w:ascii="Cambria Math" w:hAnsi="Cambria Math"/>
                        <w:sz w:val="20"/>
                      </w:rPr>
                      <m:t>-</m:t>
                    </m:r>
                    <m:r>
                      <w:rPr>
                        <w:rFonts w:ascii="Cambria Math" w:hAnsi="Cambria Math"/>
                        <w:sz w:val="20"/>
                      </w:rPr>
                      <m:t>CR Thermal Demand</m:t>
                    </m:r>
                  </m:e>
                </m:d>
                <m:r>
                  <w:rPr>
                    <w:rFonts w:ascii="Cambria Math" w:hAnsi="Cambria Math"/>
                    <w:sz w:val="20"/>
                  </w:rPr>
                  <m:t>= County Thermal Demand</m:t>
                </m:r>
              </m:oMath>
            </m:oMathPara>
          </w:p>
        </w:tc>
        <w:tc>
          <w:tcPr>
            <w:tcW w:w="496" w:type="dxa"/>
            <w:vAlign w:val="center"/>
          </w:tcPr>
          <w:p w14:paraId="3AEE63A1" w14:textId="77777777" w:rsidR="00915A5B" w:rsidRPr="00915A5B" w:rsidRDefault="00915A5B" w:rsidP="006B7709">
            <w:pPr>
              <w:jc w:val="center"/>
              <w:rPr>
                <w:sz w:val="20"/>
              </w:rPr>
            </w:pPr>
            <w:r w:rsidRPr="004D3128">
              <w:t>(2)</w:t>
            </w:r>
          </w:p>
        </w:tc>
      </w:tr>
    </w:tbl>
    <w:p w14:paraId="011E80AC" w14:textId="77777777" w:rsidR="00915A5B" w:rsidRDefault="00915A5B" w:rsidP="00121D8F">
      <w:pPr>
        <w:rPr>
          <w:rFonts w:cs="Times New Roman"/>
        </w:rPr>
      </w:pPr>
    </w:p>
    <w:p w14:paraId="31953EC1" w14:textId="1D392BC6" w:rsidR="00915A5B" w:rsidRDefault="00915A5B" w:rsidP="00915A5B">
      <w:pPr>
        <w:rPr>
          <w:rFonts w:cs="Times New Roman"/>
        </w:rPr>
      </w:pPr>
      <w:r w:rsidRPr="00915A5B">
        <w:rPr>
          <w:rFonts w:cs="Times New Roman"/>
        </w:rPr>
        <w:t>The application of the above method results in a list of every county in the U</w:t>
      </w:r>
      <w:r w:rsidR="006C0C46">
        <w:rPr>
          <w:rFonts w:cs="Times New Roman"/>
        </w:rPr>
        <w:t xml:space="preserve">nited </w:t>
      </w:r>
      <w:r w:rsidRPr="00915A5B">
        <w:rPr>
          <w:rFonts w:cs="Times New Roman"/>
        </w:rPr>
        <w:t>S</w:t>
      </w:r>
      <w:r w:rsidR="006C0C46">
        <w:rPr>
          <w:rFonts w:cs="Times New Roman"/>
        </w:rPr>
        <w:t>tates</w:t>
      </w:r>
      <w:r w:rsidRPr="00915A5B">
        <w:rPr>
          <w:rFonts w:cs="Times New Roman"/>
        </w:rPr>
        <w:t xml:space="preserve"> with disaggregated demand values for space and water heating, a sample of which is shown in</w:t>
      </w:r>
      <w:r>
        <w:rPr>
          <w:rFonts w:cs="Times New Roman"/>
        </w:rPr>
        <w:t xml:space="preserve"> </w:t>
      </w:r>
      <w:r w:rsidRPr="00A77B26">
        <w:rPr>
          <w:rFonts w:cs="Times New Roman"/>
        </w:rPr>
        <w:fldChar w:fldCharType="begin"/>
      </w:r>
      <w:r w:rsidRPr="00A77B26">
        <w:rPr>
          <w:rFonts w:cs="Times New Roman"/>
        </w:rPr>
        <w:instrText xml:space="preserve"> REF _Ref322771280 \h </w:instrText>
      </w:r>
      <w:r w:rsidRPr="00A77B26">
        <w:rPr>
          <w:rFonts w:cs="Times New Roman"/>
        </w:rPr>
      </w:r>
      <w:r w:rsidRPr="00A77B26">
        <w:rPr>
          <w:rFonts w:cs="Times New Roman"/>
        </w:rPr>
        <w:fldChar w:fldCharType="separate"/>
      </w:r>
      <w:r w:rsidR="00244063" w:rsidRPr="00A15D31">
        <w:rPr>
          <w:rFonts w:cs="Times New Roman"/>
        </w:rPr>
        <w:t xml:space="preserve">Table </w:t>
      </w:r>
      <w:r w:rsidR="00244063">
        <w:rPr>
          <w:rFonts w:cs="Times New Roman"/>
          <w:noProof/>
        </w:rPr>
        <w:t>2</w:t>
      </w:r>
      <w:r w:rsidRPr="00A77B26">
        <w:rPr>
          <w:rFonts w:cs="Times New Roman"/>
        </w:rPr>
        <w:fldChar w:fldCharType="end"/>
      </w:r>
      <w:r>
        <w:rPr>
          <w:rFonts w:cs="Times New Roman"/>
        </w:rPr>
        <w:t xml:space="preserve">. </w:t>
      </w:r>
    </w:p>
    <w:p w14:paraId="4B1D694B" w14:textId="77777777" w:rsidR="00915A5B" w:rsidRDefault="00915A5B" w:rsidP="00915A5B">
      <w:pPr>
        <w:rPr>
          <w:rFonts w:cs="Times New Roman"/>
        </w:rPr>
      </w:pPr>
    </w:p>
    <w:p w14:paraId="26FF9C80" w14:textId="77777777" w:rsidR="006A7645" w:rsidRDefault="00915A5B" w:rsidP="00A15D31">
      <w:pPr>
        <w:pStyle w:val="Caption"/>
        <w:keepNext/>
        <w:spacing w:after="0"/>
        <w:jc w:val="center"/>
        <w:rPr>
          <w:color w:val="auto"/>
        </w:rPr>
      </w:pPr>
      <w:bookmarkStart w:id="2" w:name="_Ref322771280"/>
      <w:r w:rsidRPr="00A15D31">
        <w:rPr>
          <w:rFonts w:cs="Times New Roman"/>
          <w:color w:val="auto"/>
        </w:rPr>
        <w:t xml:space="preserve">Table </w:t>
      </w:r>
      <w:r w:rsidRPr="00A15D31">
        <w:rPr>
          <w:rFonts w:cs="Times New Roman"/>
          <w:color w:val="auto"/>
        </w:rPr>
        <w:fldChar w:fldCharType="begin"/>
      </w:r>
      <w:r w:rsidRPr="00A15D31">
        <w:rPr>
          <w:rFonts w:cs="Times New Roman"/>
          <w:color w:val="auto"/>
        </w:rPr>
        <w:instrText xml:space="preserve"> SEQ Table \* ARABIC </w:instrText>
      </w:r>
      <w:r w:rsidRPr="00A15D31">
        <w:rPr>
          <w:rFonts w:cs="Times New Roman"/>
          <w:color w:val="auto"/>
        </w:rPr>
        <w:fldChar w:fldCharType="separate"/>
      </w:r>
      <w:r w:rsidR="00244063">
        <w:rPr>
          <w:rFonts w:cs="Times New Roman"/>
          <w:noProof/>
          <w:color w:val="auto"/>
        </w:rPr>
        <w:t>2</w:t>
      </w:r>
      <w:r w:rsidRPr="00A15D31">
        <w:rPr>
          <w:rFonts w:cs="Times New Roman"/>
          <w:color w:val="auto"/>
        </w:rPr>
        <w:fldChar w:fldCharType="end"/>
      </w:r>
      <w:bookmarkEnd w:id="2"/>
      <w:r w:rsidRPr="00A15D31">
        <w:rPr>
          <w:rFonts w:cs="Times New Roman"/>
          <w:color w:val="auto"/>
        </w:rPr>
        <w:t xml:space="preserve">: </w:t>
      </w:r>
      <w:r w:rsidRPr="00A15D31">
        <w:rPr>
          <w:rFonts w:cs="Times New Roman"/>
          <w:b w:val="0"/>
          <w:color w:val="auto"/>
        </w:rPr>
        <w:t>Excerpt from the data table showing the data and results of the disaggregation of residential thermal demand</w:t>
      </w:r>
      <w:r w:rsidRPr="00A15D31">
        <w:rPr>
          <w:b w:val="0"/>
          <w:color w:val="auto"/>
        </w:rPr>
        <w:t>.</w:t>
      </w:r>
      <w:r w:rsidRPr="00A15D31">
        <w:rPr>
          <w:color w:val="auto"/>
        </w:rPr>
        <w:t xml:space="preserve"> </w:t>
      </w:r>
    </w:p>
    <w:p w14:paraId="58CB9DD6" w14:textId="6B164CDE" w:rsidR="00915A5B" w:rsidRPr="00A15D31" w:rsidRDefault="00915A5B" w:rsidP="00915A5B">
      <w:pPr>
        <w:pStyle w:val="Caption"/>
        <w:keepNext/>
        <w:jc w:val="center"/>
        <w:rPr>
          <w:color w:val="auto"/>
        </w:rPr>
      </w:pPr>
      <w:r w:rsidRPr="00A15D31">
        <w:rPr>
          <w:b w:val="0"/>
          <w:i/>
          <w:color w:val="auto"/>
        </w:rPr>
        <w:t xml:space="preserve">Full </w:t>
      </w:r>
      <w:r w:rsidR="00752FA6">
        <w:rPr>
          <w:b w:val="0"/>
          <w:i/>
          <w:color w:val="auto"/>
        </w:rPr>
        <w:t xml:space="preserve">data </w:t>
      </w:r>
      <w:r w:rsidRPr="00A15D31">
        <w:rPr>
          <w:b w:val="0"/>
          <w:i/>
          <w:color w:val="auto"/>
        </w:rPr>
        <w:t>tab</w:t>
      </w:r>
      <w:r w:rsidR="00F44592" w:rsidRPr="00A15D31">
        <w:rPr>
          <w:b w:val="0"/>
          <w:i/>
          <w:color w:val="auto"/>
        </w:rPr>
        <w:t xml:space="preserve">le </w:t>
      </w:r>
      <w:r w:rsidR="00752FA6">
        <w:rPr>
          <w:b w:val="0"/>
          <w:i/>
          <w:color w:val="auto"/>
        </w:rPr>
        <w:t>is available on</w:t>
      </w:r>
      <w:r w:rsidR="00F44592" w:rsidRPr="00A15D31">
        <w:rPr>
          <w:b w:val="0"/>
          <w:i/>
          <w:color w:val="auto"/>
        </w:rPr>
        <w:t xml:space="preserve"> the GDR</w:t>
      </w:r>
      <w:r w:rsidRPr="00A15D31">
        <w:rPr>
          <w:b w:val="0"/>
          <w:i/>
          <w:color w:val="auto"/>
        </w:rPr>
        <w:t>.</w:t>
      </w:r>
    </w:p>
    <w:tbl>
      <w:tblPr>
        <w:tblW w:w="4757" w:type="pct"/>
        <w:tblLayout w:type="fixed"/>
        <w:tblCellMar>
          <w:left w:w="0" w:type="dxa"/>
          <w:right w:w="0" w:type="dxa"/>
        </w:tblCellMar>
        <w:tblLook w:val="0600" w:firstRow="0" w:lastRow="0" w:firstColumn="0" w:lastColumn="0" w:noHBand="1" w:noVBand="1"/>
      </w:tblPr>
      <w:tblGrid>
        <w:gridCol w:w="1004"/>
        <w:gridCol w:w="990"/>
        <w:gridCol w:w="914"/>
        <w:gridCol w:w="708"/>
        <w:gridCol w:w="805"/>
        <w:gridCol w:w="806"/>
        <w:gridCol w:w="632"/>
        <w:gridCol w:w="721"/>
        <w:gridCol w:w="632"/>
        <w:gridCol w:w="721"/>
        <w:gridCol w:w="988"/>
      </w:tblGrid>
      <w:tr w:rsidR="00915A5B" w:rsidRPr="00A60B5A" w14:paraId="7BE16F14" w14:textId="77777777" w:rsidTr="004D3128">
        <w:trPr>
          <w:cantSplit/>
          <w:trHeight w:val="192"/>
          <w:tblHeader/>
        </w:trPr>
        <w:tc>
          <w:tcPr>
            <w:tcW w:w="563"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tcMar>
              <w:top w:w="12" w:type="dxa"/>
              <w:left w:w="12" w:type="dxa"/>
              <w:bottom w:w="0" w:type="dxa"/>
              <w:right w:w="12" w:type="dxa"/>
            </w:tcMar>
            <w:vAlign w:val="center"/>
            <w:hideMark/>
          </w:tcPr>
          <w:p w14:paraId="0E961108" w14:textId="77777777" w:rsidR="00915A5B" w:rsidRPr="00122FAD" w:rsidRDefault="00915A5B" w:rsidP="006B7709">
            <w:pPr>
              <w:jc w:val="center"/>
              <w:rPr>
                <w:rFonts w:ascii="Arial" w:hAnsi="Arial" w:cs="Arial"/>
                <w:b/>
                <w:color w:val="FFFFFF" w:themeColor="background1"/>
                <w:sz w:val="18"/>
              </w:rPr>
            </w:pPr>
            <w:r>
              <w:rPr>
                <w:rFonts w:ascii="Arial" w:hAnsi="Arial" w:cs="Arial"/>
                <w:b/>
                <w:bCs/>
                <w:color w:val="FFFFFF" w:themeColor="background1"/>
                <w:sz w:val="18"/>
              </w:rPr>
              <w:t>EIA Reportable Domain</w:t>
            </w:r>
          </w:p>
        </w:tc>
        <w:tc>
          <w:tcPr>
            <w:tcW w:w="555"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tcMar>
              <w:top w:w="12" w:type="dxa"/>
              <w:left w:w="12" w:type="dxa"/>
              <w:bottom w:w="0" w:type="dxa"/>
              <w:right w:w="12" w:type="dxa"/>
            </w:tcMar>
            <w:vAlign w:val="center"/>
            <w:hideMark/>
          </w:tcPr>
          <w:p w14:paraId="2E1809F1" w14:textId="77777777" w:rsidR="00915A5B" w:rsidRPr="00122FAD" w:rsidRDefault="00915A5B" w:rsidP="006B7709">
            <w:pPr>
              <w:jc w:val="center"/>
              <w:rPr>
                <w:rFonts w:ascii="Arial" w:hAnsi="Arial" w:cs="Arial"/>
                <w:b/>
                <w:color w:val="FFFFFF" w:themeColor="background1"/>
                <w:sz w:val="18"/>
              </w:rPr>
            </w:pPr>
            <w:r>
              <w:rPr>
                <w:rFonts w:ascii="Arial" w:hAnsi="Arial" w:cs="Arial"/>
                <w:b/>
                <w:bCs/>
                <w:color w:val="FFFFFF" w:themeColor="background1"/>
                <w:sz w:val="18"/>
              </w:rPr>
              <w:t>County</w:t>
            </w:r>
          </w:p>
        </w:tc>
        <w:tc>
          <w:tcPr>
            <w:tcW w:w="512" w:type="pct"/>
            <w:vMerge w:val="restart"/>
            <w:tcBorders>
              <w:top w:val="single" w:sz="4" w:space="0" w:color="1F497D" w:themeColor="text2"/>
              <w:left w:val="single" w:sz="4" w:space="0" w:color="1F497D" w:themeColor="text2"/>
              <w:right w:val="single" w:sz="4" w:space="0" w:color="1F497D" w:themeColor="text2"/>
            </w:tcBorders>
            <w:shd w:val="clear" w:color="auto" w:fill="4F81BD" w:themeFill="accent1"/>
            <w:vAlign w:val="center"/>
          </w:tcPr>
          <w:p w14:paraId="6B423891" w14:textId="77777777" w:rsidR="00915A5B" w:rsidRDefault="00915A5B" w:rsidP="006B7709">
            <w:pPr>
              <w:jc w:val="center"/>
              <w:rPr>
                <w:rFonts w:ascii="Arial" w:hAnsi="Arial" w:cs="Arial"/>
                <w:b/>
                <w:bCs/>
                <w:color w:val="FFFFFF" w:themeColor="background1"/>
                <w:sz w:val="18"/>
              </w:rPr>
            </w:pPr>
            <w:r>
              <w:rPr>
                <w:rFonts w:ascii="Arial" w:hAnsi="Arial" w:cs="Arial"/>
                <w:b/>
                <w:bCs/>
                <w:color w:val="FFFFFF" w:themeColor="background1"/>
                <w:sz w:val="18"/>
              </w:rPr>
              <w:t>Climate Region</w:t>
            </w:r>
          </w:p>
        </w:tc>
        <w:tc>
          <w:tcPr>
            <w:tcW w:w="1300" w:type="pct"/>
            <w:gridSpan w:val="3"/>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tcMar>
              <w:top w:w="12" w:type="dxa"/>
              <w:left w:w="12" w:type="dxa"/>
              <w:bottom w:w="0" w:type="dxa"/>
              <w:right w:w="12" w:type="dxa"/>
            </w:tcMar>
            <w:vAlign w:val="center"/>
            <w:hideMark/>
          </w:tcPr>
          <w:p w14:paraId="66810098" w14:textId="77777777" w:rsidR="00915A5B" w:rsidRPr="00122FAD" w:rsidRDefault="00915A5B" w:rsidP="006B7709">
            <w:pPr>
              <w:jc w:val="center"/>
              <w:rPr>
                <w:rFonts w:ascii="Arial" w:hAnsi="Arial" w:cs="Arial"/>
                <w:b/>
                <w:color w:val="FFFFFF" w:themeColor="background1"/>
                <w:sz w:val="18"/>
              </w:rPr>
            </w:pPr>
            <w:r>
              <w:rPr>
                <w:rFonts w:ascii="Arial" w:hAnsi="Arial" w:cs="Arial"/>
                <w:b/>
                <w:bCs/>
                <w:color w:val="FFFFFF" w:themeColor="background1"/>
                <w:sz w:val="18"/>
              </w:rPr>
              <w:t>Housing Units</w:t>
            </w:r>
          </w:p>
        </w:tc>
        <w:tc>
          <w:tcPr>
            <w:tcW w:w="2070" w:type="pct"/>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tcPr>
          <w:p w14:paraId="7E00B309" w14:textId="77777777" w:rsidR="00915A5B" w:rsidRPr="00122FAD" w:rsidRDefault="00915A5B" w:rsidP="006B7709">
            <w:pPr>
              <w:jc w:val="center"/>
              <w:rPr>
                <w:rFonts w:ascii="Arial" w:hAnsi="Arial" w:cs="Arial"/>
                <w:b/>
                <w:color w:val="FFFFFF" w:themeColor="background1"/>
                <w:sz w:val="18"/>
              </w:rPr>
            </w:pPr>
            <w:r>
              <w:rPr>
                <w:rFonts w:ascii="Arial" w:hAnsi="Arial" w:cs="Arial"/>
                <w:b/>
                <w:bCs/>
                <w:color w:val="FFFFFF" w:themeColor="background1"/>
                <w:sz w:val="18"/>
              </w:rPr>
              <w:t>Residential Thermal Demand</w:t>
            </w:r>
          </w:p>
        </w:tc>
      </w:tr>
      <w:tr w:rsidR="00915A5B" w:rsidRPr="00A60B5A" w14:paraId="5136AD19" w14:textId="77777777" w:rsidTr="004D3128">
        <w:trPr>
          <w:cantSplit/>
          <w:trHeight w:val="191"/>
          <w:tblHeader/>
        </w:trPr>
        <w:tc>
          <w:tcPr>
            <w:tcW w:w="563"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tcMar>
              <w:top w:w="12" w:type="dxa"/>
              <w:left w:w="12" w:type="dxa"/>
              <w:bottom w:w="0" w:type="dxa"/>
              <w:right w:w="12" w:type="dxa"/>
            </w:tcMar>
            <w:vAlign w:val="center"/>
          </w:tcPr>
          <w:p w14:paraId="126F5A90" w14:textId="77777777" w:rsidR="00915A5B" w:rsidRPr="00122FAD" w:rsidRDefault="00915A5B" w:rsidP="006B7709">
            <w:pPr>
              <w:jc w:val="center"/>
              <w:rPr>
                <w:rFonts w:ascii="Arial" w:hAnsi="Arial" w:cs="Arial"/>
                <w:b/>
                <w:bCs/>
                <w:color w:val="FFFFFF" w:themeColor="background1"/>
                <w:sz w:val="18"/>
              </w:rPr>
            </w:pPr>
          </w:p>
        </w:tc>
        <w:tc>
          <w:tcPr>
            <w:tcW w:w="555"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tcMar>
              <w:top w:w="12" w:type="dxa"/>
              <w:left w:w="12" w:type="dxa"/>
              <w:bottom w:w="0" w:type="dxa"/>
              <w:right w:w="12" w:type="dxa"/>
            </w:tcMar>
            <w:vAlign w:val="center"/>
          </w:tcPr>
          <w:p w14:paraId="54F2095F" w14:textId="77777777" w:rsidR="00915A5B" w:rsidRPr="00122FAD" w:rsidRDefault="00915A5B" w:rsidP="006B7709">
            <w:pPr>
              <w:jc w:val="center"/>
              <w:rPr>
                <w:rFonts w:ascii="Arial" w:hAnsi="Arial" w:cs="Arial"/>
                <w:b/>
                <w:bCs/>
                <w:color w:val="FFFFFF" w:themeColor="background1"/>
                <w:sz w:val="18"/>
              </w:rPr>
            </w:pPr>
          </w:p>
        </w:tc>
        <w:tc>
          <w:tcPr>
            <w:tcW w:w="512" w:type="pct"/>
            <w:vMerge/>
            <w:tcBorders>
              <w:left w:val="single" w:sz="4" w:space="0" w:color="1F497D" w:themeColor="text2"/>
              <w:right w:val="single" w:sz="4" w:space="0" w:color="1F497D" w:themeColor="text2"/>
            </w:tcBorders>
            <w:shd w:val="clear" w:color="auto" w:fill="4F81BD" w:themeFill="accent1"/>
          </w:tcPr>
          <w:p w14:paraId="645E7127" w14:textId="77777777" w:rsidR="00915A5B" w:rsidRPr="00122FAD" w:rsidDel="00DF6502" w:rsidRDefault="00915A5B" w:rsidP="006B7709">
            <w:pPr>
              <w:jc w:val="center"/>
              <w:rPr>
                <w:rFonts w:ascii="Arial" w:hAnsi="Arial" w:cs="Arial"/>
                <w:b/>
                <w:bCs/>
                <w:color w:val="FFFFFF" w:themeColor="background1"/>
                <w:sz w:val="18"/>
              </w:rPr>
            </w:pPr>
          </w:p>
        </w:tc>
        <w:tc>
          <w:tcPr>
            <w:tcW w:w="1300" w:type="pct"/>
            <w:gridSpan w:val="3"/>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tcMar>
              <w:top w:w="12" w:type="dxa"/>
              <w:left w:w="12" w:type="dxa"/>
              <w:bottom w:w="0" w:type="dxa"/>
              <w:right w:w="12" w:type="dxa"/>
            </w:tcMar>
            <w:vAlign w:val="center"/>
          </w:tcPr>
          <w:p w14:paraId="1627D7BC" w14:textId="77777777" w:rsidR="00915A5B" w:rsidRPr="00122FAD" w:rsidDel="00DF6502" w:rsidRDefault="00915A5B" w:rsidP="006B7709">
            <w:pPr>
              <w:jc w:val="center"/>
              <w:rPr>
                <w:rFonts w:ascii="Arial" w:hAnsi="Arial" w:cs="Arial"/>
                <w:b/>
                <w:bCs/>
                <w:color w:val="FFFFFF" w:themeColor="background1"/>
                <w:sz w:val="18"/>
              </w:rPr>
            </w:pPr>
          </w:p>
        </w:tc>
        <w:tc>
          <w:tcPr>
            <w:tcW w:w="758"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vAlign w:val="center"/>
          </w:tcPr>
          <w:p w14:paraId="118C16B9" w14:textId="77777777" w:rsidR="00915A5B" w:rsidRPr="00122FAD" w:rsidRDefault="00915A5B" w:rsidP="006B7709">
            <w:pPr>
              <w:jc w:val="center"/>
              <w:rPr>
                <w:rFonts w:ascii="Arial" w:hAnsi="Arial" w:cs="Arial"/>
                <w:b/>
                <w:bCs/>
                <w:color w:val="FFFFFF" w:themeColor="background1"/>
                <w:sz w:val="18"/>
              </w:rPr>
            </w:pPr>
            <w:r>
              <w:rPr>
                <w:rFonts w:ascii="Arial" w:hAnsi="Arial" w:cs="Arial"/>
                <w:b/>
                <w:bCs/>
                <w:color w:val="FFFFFF" w:themeColor="background1"/>
                <w:sz w:val="18"/>
              </w:rPr>
              <w:t>Space Heating</w:t>
            </w:r>
          </w:p>
        </w:tc>
        <w:tc>
          <w:tcPr>
            <w:tcW w:w="758"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vAlign w:val="center"/>
          </w:tcPr>
          <w:p w14:paraId="46507F5D" w14:textId="77777777" w:rsidR="00915A5B" w:rsidRPr="00122FAD" w:rsidRDefault="00915A5B" w:rsidP="006B7709">
            <w:pPr>
              <w:jc w:val="center"/>
              <w:rPr>
                <w:rFonts w:ascii="Arial" w:hAnsi="Arial" w:cs="Arial"/>
                <w:b/>
                <w:bCs/>
                <w:color w:val="FFFFFF" w:themeColor="background1"/>
                <w:sz w:val="18"/>
              </w:rPr>
            </w:pPr>
            <w:r>
              <w:rPr>
                <w:rFonts w:ascii="Arial" w:hAnsi="Arial" w:cs="Arial"/>
                <w:b/>
                <w:bCs/>
                <w:color w:val="FFFFFF" w:themeColor="background1"/>
                <w:sz w:val="18"/>
              </w:rPr>
              <w:t>Water Heating</w:t>
            </w:r>
          </w:p>
        </w:tc>
        <w:tc>
          <w:tcPr>
            <w:tcW w:w="554" w:type="pct"/>
            <w:vMerge w:val="restart"/>
            <w:tcBorders>
              <w:top w:val="single" w:sz="4" w:space="0" w:color="1F497D" w:themeColor="text2"/>
              <w:left w:val="single" w:sz="4" w:space="0" w:color="1F497D" w:themeColor="text2"/>
              <w:right w:val="single" w:sz="4" w:space="0" w:color="1F497D" w:themeColor="text2"/>
            </w:tcBorders>
            <w:shd w:val="clear" w:color="auto" w:fill="4F81BD" w:themeFill="accent1"/>
            <w:vAlign w:val="center"/>
          </w:tcPr>
          <w:p w14:paraId="1932E98E" w14:textId="77777777" w:rsidR="00915A5B" w:rsidRPr="00122FAD" w:rsidRDefault="00915A5B" w:rsidP="006B7709">
            <w:pPr>
              <w:jc w:val="center"/>
              <w:rPr>
                <w:rFonts w:ascii="Arial" w:hAnsi="Arial" w:cs="Arial"/>
                <w:b/>
                <w:bCs/>
                <w:color w:val="FFFFFF" w:themeColor="background1"/>
                <w:sz w:val="18"/>
              </w:rPr>
            </w:pPr>
            <w:r>
              <w:rPr>
                <w:rFonts w:ascii="Arial" w:hAnsi="Arial" w:cs="Arial"/>
                <w:b/>
                <w:bCs/>
                <w:color w:val="FFFFFF" w:themeColor="background1"/>
                <w:sz w:val="18"/>
              </w:rPr>
              <w:t>Total Space &amp; Water</w:t>
            </w:r>
          </w:p>
        </w:tc>
      </w:tr>
      <w:tr w:rsidR="00915A5B" w:rsidRPr="00A60B5A" w14:paraId="50A3776F" w14:textId="77777777" w:rsidTr="004D3128">
        <w:trPr>
          <w:cantSplit/>
          <w:trHeight w:val="561"/>
          <w:tblHeader/>
        </w:trPr>
        <w:tc>
          <w:tcPr>
            <w:tcW w:w="563"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vAlign w:val="center"/>
            <w:hideMark/>
          </w:tcPr>
          <w:p w14:paraId="399B80FB" w14:textId="77777777" w:rsidR="00915A5B" w:rsidRPr="00122FAD" w:rsidRDefault="00915A5B" w:rsidP="006B7709">
            <w:pPr>
              <w:jc w:val="center"/>
              <w:rPr>
                <w:rFonts w:ascii="Arial" w:hAnsi="Arial" w:cs="Arial"/>
                <w:color w:val="FFFFFF" w:themeColor="background1"/>
                <w:sz w:val="18"/>
              </w:rPr>
            </w:pPr>
          </w:p>
        </w:tc>
        <w:tc>
          <w:tcPr>
            <w:tcW w:w="555"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vAlign w:val="center"/>
            <w:hideMark/>
          </w:tcPr>
          <w:p w14:paraId="1DB0026A" w14:textId="77777777" w:rsidR="00915A5B" w:rsidRPr="00122FAD" w:rsidRDefault="00915A5B" w:rsidP="006B7709">
            <w:pPr>
              <w:jc w:val="center"/>
              <w:rPr>
                <w:rFonts w:ascii="Arial" w:hAnsi="Arial" w:cs="Arial"/>
                <w:color w:val="FFFFFF" w:themeColor="background1"/>
                <w:sz w:val="18"/>
              </w:rPr>
            </w:pPr>
          </w:p>
        </w:tc>
        <w:tc>
          <w:tcPr>
            <w:tcW w:w="512" w:type="pct"/>
            <w:vMerge/>
            <w:tcBorders>
              <w:left w:val="single" w:sz="4" w:space="0" w:color="1F497D" w:themeColor="text2"/>
              <w:bottom w:val="single" w:sz="4" w:space="0" w:color="1F497D" w:themeColor="text2"/>
              <w:right w:val="single" w:sz="4" w:space="0" w:color="1F497D" w:themeColor="text2"/>
            </w:tcBorders>
            <w:shd w:val="clear" w:color="auto" w:fill="4F81BD" w:themeFill="accent1"/>
          </w:tcPr>
          <w:p w14:paraId="04595F33" w14:textId="77777777" w:rsidR="00915A5B" w:rsidRDefault="00915A5B" w:rsidP="006B7709">
            <w:pPr>
              <w:jc w:val="center"/>
              <w:rPr>
                <w:rFonts w:ascii="Arial" w:hAnsi="Arial" w:cs="Arial"/>
                <w:color w:val="FFFFFF" w:themeColor="background1"/>
                <w:sz w:val="18"/>
              </w:rPr>
            </w:pPr>
          </w:p>
        </w:tc>
        <w:tc>
          <w:tcPr>
            <w:tcW w:w="39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vAlign w:val="center"/>
            <w:hideMark/>
          </w:tcPr>
          <w:p w14:paraId="73A5CDF6" w14:textId="77777777" w:rsidR="00915A5B" w:rsidRPr="004D3128" w:rsidRDefault="00915A5B" w:rsidP="006B7709">
            <w:pPr>
              <w:jc w:val="center"/>
              <w:rPr>
                <w:rFonts w:ascii="Arial" w:hAnsi="Arial" w:cs="Arial"/>
                <w:b/>
                <w:color w:val="FFFFFF" w:themeColor="background1"/>
                <w:sz w:val="18"/>
              </w:rPr>
            </w:pPr>
            <w:r w:rsidRPr="004D3128">
              <w:rPr>
                <w:rFonts w:ascii="Arial" w:hAnsi="Arial" w:cs="Arial"/>
                <w:b/>
                <w:color w:val="FFFFFF" w:themeColor="background1"/>
                <w:sz w:val="18"/>
              </w:rPr>
              <w:t>County</w:t>
            </w:r>
          </w:p>
        </w:tc>
        <w:tc>
          <w:tcPr>
            <w:tcW w:w="451"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vAlign w:val="center"/>
          </w:tcPr>
          <w:p w14:paraId="3ADB5D8A" w14:textId="77777777" w:rsidR="00915A5B" w:rsidRPr="004D3128" w:rsidRDefault="00915A5B" w:rsidP="006B7709">
            <w:pPr>
              <w:jc w:val="center"/>
              <w:rPr>
                <w:rFonts w:ascii="Arial" w:hAnsi="Arial" w:cs="Arial"/>
                <w:b/>
                <w:color w:val="FFFFFF" w:themeColor="background1"/>
                <w:sz w:val="18"/>
              </w:rPr>
            </w:pPr>
            <w:r w:rsidRPr="004D3128">
              <w:rPr>
                <w:rFonts w:ascii="Arial" w:hAnsi="Arial" w:cs="Arial"/>
                <w:b/>
                <w:color w:val="FFFFFF" w:themeColor="background1"/>
                <w:sz w:val="18"/>
              </w:rPr>
              <w:t>RD-CR</w:t>
            </w:r>
          </w:p>
        </w:tc>
        <w:tc>
          <w:tcPr>
            <w:tcW w:w="452"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vAlign w:val="center"/>
            <w:hideMark/>
          </w:tcPr>
          <w:p w14:paraId="0CA044B0" w14:textId="77777777" w:rsidR="00915A5B" w:rsidRPr="004D3128" w:rsidRDefault="00915A5B" w:rsidP="006B7709">
            <w:pPr>
              <w:jc w:val="center"/>
              <w:rPr>
                <w:rFonts w:ascii="Arial" w:hAnsi="Arial" w:cs="Arial"/>
                <w:b/>
                <w:color w:val="FFFFFF" w:themeColor="background1"/>
                <w:sz w:val="18"/>
              </w:rPr>
            </w:pPr>
            <w:r w:rsidRPr="004D3128">
              <w:rPr>
                <w:rFonts w:ascii="Arial" w:hAnsi="Arial" w:cs="Arial"/>
                <w:b/>
                <w:color w:val="FFFFFF" w:themeColor="background1"/>
                <w:sz w:val="18"/>
              </w:rPr>
              <w:t>County Weight</w:t>
            </w:r>
          </w:p>
        </w:tc>
        <w:tc>
          <w:tcPr>
            <w:tcW w:w="35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tcMar>
              <w:top w:w="12" w:type="dxa"/>
              <w:left w:w="12" w:type="dxa"/>
              <w:bottom w:w="0" w:type="dxa"/>
              <w:right w:w="12" w:type="dxa"/>
            </w:tcMar>
            <w:vAlign w:val="center"/>
            <w:hideMark/>
          </w:tcPr>
          <w:p w14:paraId="7B77C756" w14:textId="77777777" w:rsidR="00915A5B" w:rsidRPr="004D3128" w:rsidRDefault="00915A5B" w:rsidP="006B7709">
            <w:pPr>
              <w:jc w:val="center"/>
              <w:rPr>
                <w:rFonts w:ascii="Arial" w:hAnsi="Arial" w:cs="Arial"/>
                <w:b/>
                <w:color w:val="FFFFFF" w:themeColor="background1"/>
                <w:sz w:val="18"/>
              </w:rPr>
            </w:pPr>
            <w:r w:rsidRPr="004D3128">
              <w:rPr>
                <w:rFonts w:ascii="Arial" w:hAnsi="Arial" w:cs="Arial"/>
                <w:b/>
                <w:bCs/>
                <w:color w:val="FFFFFF" w:themeColor="background1"/>
                <w:sz w:val="18"/>
              </w:rPr>
              <w:t>RD-CR</w:t>
            </w:r>
          </w:p>
        </w:tc>
        <w:tc>
          <w:tcPr>
            <w:tcW w:w="40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vAlign w:val="center"/>
          </w:tcPr>
          <w:p w14:paraId="3D271F4F" w14:textId="77777777" w:rsidR="00915A5B" w:rsidRPr="004D3128" w:rsidRDefault="00915A5B" w:rsidP="006B7709">
            <w:pPr>
              <w:jc w:val="center"/>
              <w:rPr>
                <w:rFonts w:ascii="Arial" w:hAnsi="Arial" w:cs="Arial"/>
                <w:b/>
                <w:bCs/>
                <w:color w:val="FFFFFF" w:themeColor="background1"/>
                <w:sz w:val="18"/>
              </w:rPr>
            </w:pPr>
            <w:r w:rsidRPr="004D3128">
              <w:rPr>
                <w:rFonts w:ascii="Arial" w:hAnsi="Arial" w:cs="Arial"/>
                <w:b/>
                <w:bCs/>
                <w:color w:val="FFFFFF" w:themeColor="background1"/>
                <w:sz w:val="18"/>
              </w:rPr>
              <w:t>County</w:t>
            </w:r>
          </w:p>
        </w:tc>
        <w:tc>
          <w:tcPr>
            <w:tcW w:w="35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tcMar>
              <w:top w:w="12" w:type="dxa"/>
              <w:left w:w="12" w:type="dxa"/>
              <w:bottom w:w="0" w:type="dxa"/>
              <w:right w:w="12" w:type="dxa"/>
            </w:tcMar>
            <w:vAlign w:val="center"/>
            <w:hideMark/>
          </w:tcPr>
          <w:p w14:paraId="20E8F749" w14:textId="77777777" w:rsidR="00915A5B" w:rsidRPr="004D3128" w:rsidRDefault="00915A5B" w:rsidP="006B7709">
            <w:pPr>
              <w:jc w:val="center"/>
              <w:rPr>
                <w:rFonts w:ascii="Arial" w:hAnsi="Arial" w:cs="Arial"/>
                <w:b/>
                <w:color w:val="FFFFFF" w:themeColor="background1"/>
                <w:sz w:val="18"/>
              </w:rPr>
            </w:pPr>
            <w:r w:rsidRPr="004D3128">
              <w:rPr>
                <w:rFonts w:ascii="Arial" w:hAnsi="Arial" w:cs="Arial"/>
                <w:b/>
                <w:bCs/>
                <w:color w:val="FFFFFF" w:themeColor="background1"/>
                <w:sz w:val="18"/>
              </w:rPr>
              <w:t>RD-CR</w:t>
            </w:r>
          </w:p>
        </w:tc>
        <w:tc>
          <w:tcPr>
            <w:tcW w:w="40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4F81BD" w:themeFill="accent1"/>
            <w:tcMar>
              <w:top w:w="12" w:type="dxa"/>
              <w:left w:w="12" w:type="dxa"/>
              <w:bottom w:w="0" w:type="dxa"/>
              <w:right w:w="12" w:type="dxa"/>
            </w:tcMar>
            <w:vAlign w:val="center"/>
            <w:hideMark/>
          </w:tcPr>
          <w:p w14:paraId="24638057" w14:textId="77777777" w:rsidR="00915A5B" w:rsidRPr="004D3128" w:rsidRDefault="00915A5B" w:rsidP="006B7709">
            <w:pPr>
              <w:jc w:val="center"/>
              <w:rPr>
                <w:rFonts w:ascii="Arial" w:hAnsi="Arial" w:cs="Arial"/>
                <w:b/>
                <w:color w:val="FFFFFF" w:themeColor="background1"/>
                <w:sz w:val="18"/>
              </w:rPr>
            </w:pPr>
            <w:r w:rsidRPr="004D3128">
              <w:rPr>
                <w:rFonts w:ascii="Arial" w:hAnsi="Arial" w:cs="Arial"/>
                <w:b/>
                <w:bCs/>
                <w:color w:val="FFFFFF" w:themeColor="background1"/>
                <w:sz w:val="18"/>
              </w:rPr>
              <w:t>County</w:t>
            </w:r>
          </w:p>
        </w:tc>
        <w:tc>
          <w:tcPr>
            <w:tcW w:w="554" w:type="pct"/>
            <w:vMerge/>
            <w:tcBorders>
              <w:left w:val="single" w:sz="4" w:space="0" w:color="1F497D" w:themeColor="text2"/>
              <w:bottom w:val="single" w:sz="4" w:space="0" w:color="1F497D" w:themeColor="text2"/>
              <w:right w:val="single" w:sz="4" w:space="0" w:color="1F497D" w:themeColor="text2"/>
            </w:tcBorders>
            <w:shd w:val="clear" w:color="auto" w:fill="4F81BD" w:themeFill="accent1"/>
            <w:tcMar>
              <w:top w:w="12" w:type="dxa"/>
              <w:left w:w="12" w:type="dxa"/>
              <w:bottom w:w="0" w:type="dxa"/>
              <w:right w:w="12" w:type="dxa"/>
            </w:tcMar>
            <w:vAlign w:val="center"/>
            <w:hideMark/>
          </w:tcPr>
          <w:p w14:paraId="183F54C3" w14:textId="77777777" w:rsidR="00915A5B" w:rsidRPr="00122FAD" w:rsidRDefault="00915A5B" w:rsidP="006B7709">
            <w:pPr>
              <w:jc w:val="center"/>
              <w:rPr>
                <w:rFonts w:ascii="Arial" w:hAnsi="Arial" w:cs="Arial"/>
                <w:b/>
                <w:color w:val="FFFFFF" w:themeColor="background1"/>
                <w:sz w:val="18"/>
              </w:rPr>
            </w:pPr>
          </w:p>
        </w:tc>
      </w:tr>
      <w:tr w:rsidR="00915A5B" w:rsidRPr="00A60B5A" w14:paraId="21FB078F" w14:textId="77777777" w:rsidTr="004D3128">
        <w:trPr>
          <w:cantSplit/>
          <w:trHeight w:val="104"/>
          <w:tblHeader/>
        </w:trPr>
        <w:tc>
          <w:tcPr>
            <w:tcW w:w="563"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2A29B8D0" w14:textId="77777777" w:rsidR="00915A5B" w:rsidRPr="00B24E7E" w:rsidRDefault="00915A5B" w:rsidP="006B7709">
            <w:pPr>
              <w:jc w:val="center"/>
              <w:rPr>
                <w:rFonts w:asciiTheme="majorHAnsi" w:hAnsiTheme="majorHAnsi" w:cs="Arial"/>
                <w:b/>
                <w:bCs/>
                <w:i/>
                <w:sz w:val="16"/>
                <w:szCs w:val="16"/>
              </w:rPr>
            </w:pPr>
          </w:p>
        </w:tc>
        <w:tc>
          <w:tcPr>
            <w:tcW w:w="555"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1DA3D516" w14:textId="77777777" w:rsidR="00915A5B" w:rsidRPr="00B24E7E" w:rsidRDefault="00915A5B" w:rsidP="006B7709">
            <w:pPr>
              <w:jc w:val="center"/>
              <w:rPr>
                <w:rFonts w:asciiTheme="majorHAnsi" w:hAnsiTheme="majorHAnsi" w:cs="Arial"/>
                <w:b/>
                <w:bCs/>
                <w:i/>
                <w:sz w:val="16"/>
                <w:szCs w:val="16"/>
              </w:rPr>
            </w:pPr>
          </w:p>
        </w:tc>
        <w:tc>
          <w:tcPr>
            <w:tcW w:w="512"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31327872" w14:textId="77777777" w:rsidR="00915A5B" w:rsidRDefault="00915A5B" w:rsidP="006B7709">
            <w:pPr>
              <w:jc w:val="center"/>
              <w:rPr>
                <w:rFonts w:asciiTheme="majorHAnsi" w:hAnsiTheme="majorHAnsi" w:cs="Arial"/>
                <w:bCs/>
                <w:i/>
                <w:sz w:val="16"/>
                <w:szCs w:val="16"/>
              </w:rPr>
            </w:pPr>
            <w:r>
              <w:rPr>
                <w:rFonts w:asciiTheme="majorHAnsi" w:hAnsiTheme="majorHAnsi" w:cs="Arial"/>
                <w:bCs/>
                <w:i/>
                <w:sz w:val="16"/>
                <w:szCs w:val="16"/>
              </w:rPr>
              <w:t>EIA</w:t>
            </w:r>
          </w:p>
        </w:tc>
        <w:tc>
          <w:tcPr>
            <w:tcW w:w="39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784383E1" w14:textId="77777777" w:rsidR="00915A5B" w:rsidRDefault="00915A5B" w:rsidP="006B7709">
            <w:pPr>
              <w:jc w:val="center"/>
              <w:rPr>
                <w:rFonts w:asciiTheme="majorHAnsi" w:hAnsiTheme="majorHAnsi" w:cs="Arial"/>
                <w:bCs/>
                <w:i/>
                <w:sz w:val="16"/>
                <w:szCs w:val="16"/>
              </w:rPr>
            </w:pPr>
            <w:r>
              <w:rPr>
                <w:rFonts w:asciiTheme="majorHAnsi" w:hAnsiTheme="majorHAnsi" w:cs="Arial"/>
                <w:bCs/>
                <w:i/>
                <w:sz w:val="16"/>
                <w:szCs w:val="16"/>
              </w:rPr>
              <w:t>ACS</w:t>
            </w:r>
          </w:p>
        </w:tc>
        <w:tc>
          <w:tcPr>
            <w:tcW w:w="451"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5127401B" w14:textId="77777777" w:rsidR="00915A5B" w:rsidRDefault="00915A5B" w:rsidP="006B7709">
            <w:pPr>
              <w:jc w:val="center"/>
              <w:rPr>
                <w:rFonts w:asciiTheme="majorHAnsi" w:hAnsiTheme="majorHAnsi" w:cs="Arial"/>
                <w:bCs/>
                <w:i/>
                <w:sz w:val="16"/>
                <w:szCs w:val="16"/>
              </w:rPr>
            </w:pPr>
            <w:r>
              <w:rPr>
                <w:rFonts w:asciiTheme="majorHAnsi" w:hAnsiTheme="majorHAnsi" w:cs="Arial"/>
                <w:bCs/>
                <w:i/>
                <w:sz w:val="16"/>
                <w:szCs w:val="16"/>
              </w:rPr>
              <w:t>NREL calc.</w:t>
            </w:r>
          </w:p>
        </w:tc>
        <w:tc>
          <w:tcPr>
            <w:tcW w:w="452"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69D31EE7" w14:textId="77777777" w:rsidR="00915A5B" w:rsidRPr="00B24E7E" w:rsidRDefault="00915A5B" w:rsidP="006B7709">
            <w:pPr>
              <w:jc w:val="center"/>
              <w:rPr>
                <w:rFonts w:asciiTheme="majorHAnsi" w:hAnsiTheme="majorHAnsi" w:cs="Arial"/>
                <w:bCs/>
                <w:i/>
                <w:sz w:val="16"/>
                <w:szCs w:val="16"/>
              </w:rPr>
            </w:pPr>
            <w:r>
              <w:rPr>
                <w:rFonts w:asciiTheme="majorHAnsi" w:hAnsiTheme="majorHAnsi" w:cs="Arial"/>
                <w:bCs/>
                <w:i/>
                <w:sz w:val="16"/>
                <w:szCs w:val="16"/>
              </w:rPr>
              <w:t>NREL calc</w:t>
            </w:r>
          </w:p>
        </w:tc>
        <w:tc>
          <w:tcPr>
            <w:tcW w:w="35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63556E9D" w14:textId="77777777" w:rsidR="00915A5B" w:rsidRPr="00B24E7E" w:rsidRDefault="00915A5B" w:rsidP="006B7709">
            <w:pPr>
              <w:jc w:val="center"/>
              <w:rPr>
                <w:rFonts w:asciiTheme="majorHAnsi" w:hAnsiTheme="majorHAnsi"/>
                <w:i/>
                <w:sz w:val="16"/>
                <w:szCs w:val="16"/>
              </w:rPr>
            </w:pPr>
            <w:r>
              <w:rPr>
                <w:rFonts w:asciiTheme="majorHAnsi" w:hAnsiTheme="majorHAnsi"/>
                <w:i/>
                <w:sz w:val="16"/>
                <w:szCs w:val="16"/>
              </w:rPr>
              <w:t>EIA</w:t>
            </w:r>
          </w:p>
        </w:tc>
        <w:tc>
          <w:tcPr>
            <w:tcW w:w="40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5F81700C" w14:textId="77777777" w:rsidR="00915A5B" w:rsidRPr="00F374E5" w:rsidRDefault="00915A5B" w:rsidP="006B7709">
            <w:pPr>
              <w:jc w:val="center"/>
              <w:rPr>
                <w:rFonts w:asciiTheme="majorHAnsi" w:hAnsiTheme="majorHAnsi"/>
                <w:i/>
                <w:sz w:val="16"/>
                <w:szCs w:val="16"/>
              </w:rPr>
            </w:pPr>
            <w:r>
              <w:rPr>
                <w:rFonts w:asciiTheme="majorHAnsi" w:hAnsiTheme="majorHAnsi" w:cs="Arial"/>
                <w:bCs/>
                <w:i/>
                <w:sz w:val="16"/>
                <w:szCs w:val="16"/>
              </w:rPr>
              <w:t>NREL calc</w:t>
            </w:r>
          </w:p>
        </w:tc>
        <w:tc>
          <w:tcPr>
            <w:tcW w:w="35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03B47599" w14:textId="77777777" w:rsidR="00915A5B" w:rsidRPr="00B24E7E" w:rsidRDefault="00915A5B" w:rsidP="006B7709">
            <w:pPr>
              <w:jc w:val="center"/>
              <w:rPr>
                <w:rFonts w:asciiTheme="majorHAnsi" w:hAnsiTheme="majorHAnsi"/>
                <w:i/>
                <w:sz w:val="16"/>
                <w:szCs w:val="16"/>
              </w:rPr>
            </w:pPr>
            <w:r>
              <w:rPr>
                <w:rFonts w:asciiTheme="majorHAnsi" w:hAnsiTheme="majorHAnsi"/>
                <w:i/>
                <w:sz w:val="16"/>
                <w:szCs w:val="16"/>
              </w:rPr>
              <w:t>EIA</w:t>
            </w:r>
          </w:p>
        </w:tc>
        <w:tc>
          <w:tcPr>
            <w:tcW w:w="40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3D101E03" w14:textId="77777777" w:rsidR="00915A5B" w:rsidRPr="00B24E7E" w:rsidRDefault="00915A5B" w:rsidP="006B7709">
            <w:pPr>
              <w:jc w:val="center"/>
              <w:rPr>
                <w:rFonts w:asciiTheme="majorHAnsi" w:hAnsiTheme="majorHAnsi"/>
                <w:i/>
                <w:sz w:val="16"/>
                <w:szCs w:val="16"/>
              </w:rPr>
            </w:pPr>
            <w:r>
              <w:rPr>
                <w:rFonts w:asciiTheme="majorHAnsi" w:hAnsiTheme="majorHAnsi" w:cs="Arial"/>
                <w:bCs/>
                <w:i/>
                <w:sz w:val="16"/>
                <w:szCs w:val="16"/>
              </w:rPr>
              <w:t>NREL calc.</w:t>
            </w:r>
          </w:p>
        </w:tc>
        <w:tc>
          <w:tcPr>
            <w:tcW w:w="55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2E5C321B" w14:textId="77777777" w:rsidR="00915A5B" w:rsidRPr="00B24E7E" w:rsidRDefault="00915A5B" w:rsidP="006B7709">
            <w:pPr>
              <w:jc w:val="center"/>
              <w:rPr>
                <w:rFonts w:asciiTheme="majorHAnsi" w:hAnsiTheme="majorHAnsi"/>
                <w:i/>
                <w:sz w:val="16"/>
                <w:szCs w:val="16"/>
              </w:rPr>
            </w:pPr>
            <w:r>
              <w:rPr>
                <w:rFonts w:asciiTheme="majorHAnsi" w:hAnsiTheme="majorHAnsi" w:cs="Arial"/>
                <w:bCs/>
                <w:i/>
                <w:sz w:val="16"/>
                <w:szCs w:val="16"/>
              </w:rPr>
              <w:t>NREL calc.</w:t>
            </w:r>
          </w:p>
        </w:tc>
      </w:tr>
      <w:tr w:rsidR="00915A5B" w:rsidRPr="00A60B5A" w14:paraId="6A4BF00F" w14:textId="77777777" w:rsidTr="004D3128">
        <w:trPr>
          <w:cantSplit/>
          <w:trHeight w:val="104"/>
          <w:tblHeader/>
        </w:trPr>
        <w:tc>
          <w:tcPr>
            <w:tcW w:w="563"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365DB2F2" w14:textId="77777777" w:rsidR="00915A5B" w:rsidRPr="00B24E7E" w:rsidRDefault="00915A5B" w:rsidP="006B7709">
            <w:pPr>
              <w:jc w:val="center"/>
              <w:rPr>
                <w:rFonts w:asciiTheme="majorHAnsi" w:hAnsiTheme="majorHAnsi" w:cs="Arial"/>
                <w:b/>
                <w:bCs/>
                <w:i/>
                <w:sz w:val="16"/>
                <w:szCs w:val="16"/>
              </w:rPr>
            </w:pPr>
          </w:p>
        </w:tc>
        <w:tc>
          <w:tcPr>
            <w:tcW w:w="555"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43A6B805" w14:textId="77777777" w:rsidR="00915A5B" w:rsidRPr="00B24E7E" w:rsidRDefault="00915A5B" w:rsidP="006B7709">
            <w:pPr>
              <w:jc w:val="center"/>
              <w:rPr>
                <w:rFonts w:asciiTheme="majorHAnsi" w:hAnsiTheme="majorHAnsi" w:cs="Arial"/>
                <w:b/>
                <w:bCs/>
                <w:i/>
                <w:sz w:val="16"/>
                <w:szCs w:val="16"/>
              </w:rPr>
            </w:pPr>
          </w:p>
        </w:tc>
        <w:tc>
          <w:tcPr>
            <w:tcW w:w="512"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Pr>
          <w:p w14:paraId="6DEE63F1" w14:textId="77777777" w:rsidR="00915A5B" w:rsidRDefault="00915A5B" w:rsidP="006B7709">
            <w:pPr>
              <w:jc w:val="center"/>
              <w:rPr>
                <w:rFonts w:asciiTheme="majorHAnsi" w:hAnsiTheme="majorHAnsi" w:cs="Arial"/>
                <w:bCs/>
                <w:i/>
                <w:sz w:val="16"/>
                <w:szCs w:val="16"/>
              </w:rPr>
            </w:pPr>
          </w:p>
        </w:tc>
        <w:tc>
          <w:tcPr>
            <w:tcW w:w="39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6D7D035E" w14:textId="77777777" w:rsidR="00915A5B" w:rsidRPr="00B24E7E" w:rsidRDefault="00915A5B" w:rsidP="006B7709">
            <w:pPr>
              <w:jc w:val="center"/>
              <w:rPr>
                <w:rFonts w:asciiTheme="majorHAnsi" w:hAnsiTheme="majorHAnsi" w:cs="Arial"/>
                <w:bCs/>
                <w:i/>
                <w:sz w:val="16"/>
                <w:szCs w:val="16"/>
              </w:rPr>
            </w:pPr>
            <w:r>
              <w:rPr>
                <w:rFonts w:asciiTheme="majorHAnsi" w:hAnsiTheme="majorHAnsi" w:cs="Arial"/>
                <w:bCs/>
                <w:i/>
                <w:sz w:val="16"/>
                <w:szCs w:val="16"/>
              </w:rPr>
              <w:t># of units</w:t>
            </w:r>
          </w:p>
        </w:tc>
        <w:tc>
          <w:tcPr>
            <w:tcW w:w="451"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6FF71FDC" w14:textId="77777777" w:rsidR="00915A5B" w:rsidRPr="00B24E7E" w:rsidRDefault="00915A5B" w:rsidP="006B7709">
            <w:pPr>
              <w:jc w:val="center"/>
              <w:rPr>
                <w:rFonts w:asciiTheme="majorHAnsi" w:hAnsiTheme="majorHAnsi" w:cs="Arial"/>
                <w:bCs/>
                <w:i/>
                <w:sz w:val="16"/>
                <w:szCs w:val="16"/>
              </w:rPr>
            </w:pPr>
            <w:r>
              <w:rPr>
                <w:rFonts w:asciiTheme="majorHAnsi" w:hAnsiTheme="majorHAnsi" w:cs="Arial"/>
                <w:bCs/>
                <w:i/>
                <w:sz w:val="16"/>
                <w:szCs w:val="16"/>
              </w:rPr>
              <w:t># of units</w:t>
            </w:r>
          </w:p>
        </w:tc>
        <w:tc>
          <w:tcPr>
            <w:tcW w:w="452"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768E3EB8" w14:textId="77777777" w:rsidR="00915A5B" w:rsidRPr="00B24E7E" w:rsidRDefault="00915A5B" w:rsidP="006B7709">
            <w:pPr>
              <w:jc w:val="center"/>
              <w:rPr>
                <w:rFonts w:asciiTheme="majorHAnsi" w:hAnsiTheme="majorHAnsi" w:cs="Arial"/>
                <w:bCs/>
                <w:i/>
                <w:sz w:val="16"/>
                <w:szCs w:val="16"/>
              </w:rPr>
            </w:pPr>
            <w:r w:rsidRPr="00B24E7E">
              <w:rPr>
                <w:rFonts w:asciiTheme="majorHAnsi" w:hAnsiTheme="majorHAnsi" w:cs="Arial"/>
                <w:bCs/>
                <w:i/>
                <w:sz w:val="16"/>
                <w:szCs w:val="16"/>
              </w:rPr>
              <w:t>weight</w:t>
            </w:r>
          </w:p>
        </w:tc>
        <w:tc>
          <w:tcPr>
            <w:tcW w:w="35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4A09062A" w14:textId="17502158" w:rsidR="00915A5B" w:rsidRPr="00B24E7E" w:rsidRDefault="004D3128" w:rsidP="006B7709">
            <w:pPr>
              <w:jc w:val="center"/>
              <w:rPr>
                <w:rFonts w:asciiTheme="majorHAnsi" w:hAnsiTheme="majorHAnsi" w:cs="Arial"/>
                <w:bCs/>
                <w:i/>
                <w:sz w:val="16"/>
                <w:szCs w:val="16"/>
              </w:rPr>
            </w:pPr>
            <w:r>
              <w:rPr>
                <w:rFonts w:asciiTheme="majorHAnsi" w:hAnsiTheme="majorHAnsi"/>
                <w:i/>
                <w:sz w:val="16"/>
                <w:szCs w:val="16"/>
              </w:rPr>
              <w:t>t</w:t>
            </w:r>
            <w:r w:rsidRPr="00B24E7E">
              <w:rPr>
                <w:rFonts w:asciiTheme="majorHAnsi" w:hAnsiTheme="majorHAnsi"/>
                <w:i/>
                <w:sz w:val="16"/>
                <w:szCs w:val="16"/>
              </w:rPr>
              <w:t xml:space="preserve">rillion </w:t>
            </w:r>
            <w:r w:rsidR="008F7D6F">
              <w:rPr>
                <w:rFonts w:asciiTheme="majorHAnsi" w:hAnsiTheme="majorHAnsi"/>
                <w:i/>
                <w:sz w:val="16"/>
                <w:szCs w:val="16"/>
              </w:rPr>
              <w:t>Btu</w:t>
            </w:r>
          </w:p>
        </w:tc>
        <w:tc>
          <w:tcPr>
            <w:tcW w:w="40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573E53B2" w14:textId="5F78B2DA" w:rsidR="00915A5B" w:rsidRPr="00B24E7E" w:rsidRDefault="004D3128" w:rsidP="004D3128">
            <w:pPr>
              <w:jc w:val="center"/>
              <w:rPr>
                <w:rFonts w:asciiTheme="majorHAnsi" w:hAnsiTheme="majorHAnsi"/>
                <w:i/>
                <w:sz w:val="16"/>
                <w:szCs w:val="16"/>
              </w:rPr>
            </w:pPr>
            <w:r>
              <w:rPr>
                <w:rFonts w:asciiTheme="majorHAnsi" w:hAnsiTheme="majorHAnsi"/>
                <w:i/>
                <w:sz w:val="16"/>
                <w:szCs w:val="16"/>
              </w:rPr>
              <w:t>t</w:t>
            </w:r>
            <w:r w:rsidRPr="00F374E5">
              <w:rPr>
                <w:rFonts w:asciiTheme="majorHAnsi" w:hAnsiTheme="majorHAnsi"/>
                <w:i/>
                <w:sz w:val="16"/>
                <w:szCs w:val="16"/>
              </w:rPr>
              <w:t>rillion</w:t>
            </w:r>
            <w:r>
              <w:rPr>
                <w:rFonts w:asciiTheme="majorHAnsi" w:hAnsiTheme="majorHAnsi"/>
                <w:i/>
                <w:sz w:val="16"/>
                <w:szCs w:val="16"/>
              </w:rPr>
              <w:br/>
            </w:r>
            <w:r w:rsidR="008F7D6F">
              <w:rPr>
                <w:rFonts w:asciiTheme="majorHAnsi" w:hAnsiTheme="majorHAnsi"/>
                <w:i/>
                <w:sz w:val="16"/>
                <w:szCs w:val="16"/>
              </w:rPr>
              <w:t>Btu</w:t>
            </w:r>
          </w:p>
        </w:tc>
        <w:tc>
          <w:tcPr>
            <w:tcW w:w="35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0D1DB6B9" w14:textId="1FEA0B3F" w:rsidR="00915A5B" w:rsidRPr="00B24E7E" w:rsidRDefault="004D3128" w:rsidP="006B7709">
            <w:pPr>
              <w:jc w:val="center"/>
              <w:rPr>
                <w:rFonts w:asciiTheme="majorHAnsi" w:hAnsiTheme="majorHAnsi" w:cs="Arial"/>
                <w:bCs/>
                <w:i/>
                <w:sz w:val="16"/>
                <w:szCs w:val="16"/>
              </w:rPr>
            </w:pPr>
            <w:r>
              <w:rPr>
                <w:rFonts w:asciiTheme="majorHAnsi" w:hAnsiTheme="majorHAnsi"/>
                <w:i/>
                <w:sz w:val="16"/>
                <w:szCs w:val="16"/>
              </w:rPr>
              <w:t>t</w:t>
            </w:r>
            <w:r w:rsidRPr="00B24E7E">
              <w:rPr>
                <w:rFonts w:asciiTheme="majorHAnsi" w:hAnsiTheme="majorHAnsi"/>
                <w:i/>
                <w:sz w:val="16"/>
                <w:szCs w:val="16"/>
              </w:rPr>
              <w:t xml:space="preserve">rillion </w:t>
            </w:r>
            <w:r w:rsidR="008F7D6F">
              <w:rPr>
                <w:rFonts w:asciiTheme="majorHAnsi" w:hAnsiTheme="majorHAnsi"/>
                <w:i/>
                <w:sz w:val="16"/>
                <w:szCs w:val="16"/>
              </w:rPr>
              <w:t>Btu</w:t>
            </w:r>
          </w:p>
        </w:tc>
        <w:tc>
          <w:tcPr>
            <w:tcW w:w="40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47F78FA1" w14:textId="4E6CFE43" w:rsidR="00915A5B" w:rsidRPr="00B24E7E" w:rsidRDefault="004D3128" w:rsidP="004D3128">
            <w:pPr>
              <w:jc w:val="center"/>
              <w:rPr>
                <w:rFonts w:asciiTheme="majorHAnsi" w:hAnsiTheme="majorHAnsi" w:cs="Arial"/>
                <w:bCs/>
                <w:i/>
                <w:sz w:val="16"/>
                <w:szCs w:val="16"/>
              </w:rPr>
            </w:pPr>
            <w:r>
              <w:rPr>
                <w:rFonts w:asciiTheme="majorHAnsi" w:hAnsiTheme="majorHAnsi"/>
                <w:i/>
                <w:sz w:val="16"/>
                <w:szCs w:val="16"/>
              </w:rPr>
              <w:t>t</w:t>
            </w:r>
            <w:r w:rsidRPr="00B24E7E">
              <w:rPr>
                <w:rFonts w:asciiTheme="majorHAnsi" w:hAnsiTheme="majorHAnsi"/>
                <w:i/>
                <w:sz w:val="16"/>
                <w:szCs w:val="16"/>
              </w:rPr>
              <w:t>rillion</w:t>
            </w:r>
            <w:r>
              <w:rPr>
                <w:rFonts w:asciiTheme="majorHAnsi" w:hAnsiTheme="majorHAnsi"/>
                <w:i/>
                <w:sz w:val="16"/>
                <w:szCs w:val="16"/>
              </w:rPr>
              <w:br/>
            </w:r>
            <w:r w:rsidR="008F7D6F">
              <w:rPr>
                <w:rFonts w:asciiTheme="majorHAnsi" w:hAnsiTheme="majorHAnsi"/>
                <w:i/>
                <w:sz w:val="16"/>
                <w:szCs w:val="16"/>
              </w:rPr>
              <w:t>Btu</w:t>
            </w:r>
          </w:p>
        </w:tc>
        <w:tc>
          <w:tcPr>
            <w:tcW w:w="55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Mar>
              <w:top w:w="12" w:type="dxa"/>
              <w:left w:w="12" w:type="dxa"/>
              <w:bottom w:w="0" w:type="dxa"/>
              <w:right w:w="12" w:type="dxa"/>
            </w:tcMar>
            <w:vAlign w:val="center"/>
          </w:tcPr>
          <w:p w14:paraId="7F4DE4B5" w14:textId="63508FA9" w:rsidR="00915A5B" w:rsidRPr="00B24E7E" w:rsidRDefault="004D3128" w:rsidP="004D3128">
            <w:pPr>
              <w:jc w:val="center"/>
              <w:rPr>
                <w:rFonts w:asciiTheme="majorHAnsi" w:hAnsiTheme="majorHAnsi" w:cs="Arial"/>
                <w:bCs/>
                <w:i/>
                <w:sz w:val="16"/>
                <w:szCs w:val="16"/>
              </w:rPr>
            </w:pPr>
            <w:r>
              <w:rPr>
                <w:rFonts w:asciiTheme="majorHAnsi" w:hAnsiTheme="majorHAnsi"/>
                <w:i/>
                <w:sz w:val="16"/>
                <w:szCs w:val="16"/>
              </w:rPr>
              <w:t>t</w:t>
            </w:r>
            <w:r w:rsidRPr="00B24E7E">
              <w:rPr>
                <w:rFonts w:asciiTheme="majorHAnsi" w:hAnsiTheme="majorHAnsi"/>
                <w:i/>
                <w:sz w:val="16"/>
                <w:szCs w:val="16"/>
              </w:rPr>
              <w:t>rillion</w:t>
            </w:r>
            <w:r>
              <w:rPr>
                <w:rFonts w:asciiTheme="majorHAnsi" w:hAnsiTheme="majorHAnsi"/>
                <w:i/>
                <w:sz w:val="16"/>
                <w:szCs w:val="16"/>
              </w:rPr>
              <w:br/>
            </w:r>
            <w:r w:rsidR="008F7D6F">
              <w:rPr>
                <w:rFonts w:asciiTheme="majorHAnsi" w:hAnsiTheme="majorHAnsi"/>
                <w:i/>
                <w:sz w:val="16"/>
                <w:szCs w:val="16"/>
              </w:rPr>
              <w:t>Btu</w:t>
            </w:r>
          </w:p>
        </w:tc>
      </w:tr>
      <w:tr w:rsidR="00915A5B" w:rsidRPr="00A60B5A" w14:paraId="5F4DA624" w14:textId="77777777" w:rsidTr="006B7709">
        <w:trPr>
          <w:trHeight w:val="192"/>
        </w:trPr>
        <w:tc>
          <w:tcPr>
            <w:tcW w:w="563" w:type="pct"/>
            <w:tcBorders>
              <w:top w:val="single" w:sz="4" w:space="0" w:color="1F497D" w:themeColor="text2"/>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7E455679" w14:textId="77777777" w:rsidR="00915A5B" w:rsidRPr="001F682D" w:rsidRDefault="00915A5B" w:rsidP="006B7709">
            <w:pPr>
              <w:jc w:val="center"/>
              <w:rPr>
                <w:rFonts w:ascii="Arial" w:hAnsi="Arial" w:cs="Arial"/>
                <w:b/>
                <w:sz w:val="18"/>
              </w:rPr>
            </w:pPr>
            <w:r>
              <w:rPr>
                <w:rFonts w:ascii="Arial" w:hAnsi="Arial" w:cs="Arial"/>
                <w:b/>
                <w:bCs/>
                <w:sz w:val="18"/>
              </w:rPr>
              <w:t>AL-KY-MI</w:t>
            </w:r>
          </w:p>
        </w:tc>
        <w:tc>
          <w:tcPr>
            <w:tcW w:w="555" w:type="pct"/>
            <w:tcBorders>
              <w:top w:val="single" w:sz="4" w:space="0" w:color="1F497D" w:themeColor="text2"/>
              <w:left w:val="single" w:sz="8" w:space="0" w:color="0079C1"/>
              <w:bottom w:val="single" w:sz="8" w:space="0" w:color="0079C1"/>
              <w:right w:val="single" w:sz="18" w:space="0" w:color="4F81BD" w:themeColor="accent1"/>
            </w:tcBorders>
            <w:shd w:val="clear" w:color="auto" w:fill="auto"/>
            <w:tcMar>
              <w:top w:w="12" w:type="dxa"/>
              <w:left w:w="12" w:type="dxa"/>
              <w:bottom w:w="0" w:type="dxa"/>
              <w:right w:w="12" w:type="dxa"/>
            </w:tcMar>
            <w:vAlign w:val="bottom"/>
            <w:hideMark/>
          </w:tcPr>
          <w:p w14:paraId="451356CB" w14:textId="77777777" w:rsidR="00915A5B" w:rsidRPr="001F682D" w:rsidRDefault="00915A5B" w:rsidP="006B7709">
            <w:pPr>
              <w:jc w:val="center"/>
              <w:rPr>
                <w:rFonts w:ascii="Arial" w:hAnsi="Arial" w:cs="Arial"/>
                <w:b/>
                <w:sz w:val="18"/>
              </w:rPr>
            </w:pPr>
            <w:r w:rsidRPr="001F682D">
              <w:rPr>
                <w:rFonts w:ascii="Arial" w:hAnsi="Arial" w:cs="Arial"/>
                <w:b/>
                <w:bCs/>
                <w:sz w:val="18"/>
              </w:rPr>
              <w:t>Autauga</w:t>
            </w:r>
          </w:p>
        </w:tc>
        <w:tc>
          <w:tcPr>
            <w:tcW w:w="512" w:type="pct"/>
            <w:tcBorders>
              <w:top w:val="single" w:sz="4" w:space="0" w:color="1F497D" w:themeColor="text2"/>
              <w:left w:val="single" w:sz="18" w:space="0" w:color="4F81BD" w:themeColor="accent1"/>
              <w:bottom w:val="single" w:sz="8" w:space="0" w:color="0079C1"/>
              <w:right w:val="single" w:sz="4" w:space="0" w:color="4F81BD" w:themeColor="accent1"/>
            </w:tcBorders>
          </w:tcPr>
          <w:p w14:paraId="11F586E3" w14:textId="77777777" w:rsidR="00915A5B" w:rsidRPr="00A60B5A" w:rsidRDefault="00915A5B" w:rsidP="006B7709">
            <w:pPr>
              <w:jc w:val="center"/>
              <w:rPr>
                <w:rFonts w:ascii="Arial" w:hAnsi="Arial" w:cs="Arial"/>
                <w:bCs/>
                <w:sz w:val="18"/>
              </w:rPr>
            </w:pPr>
            <w:r>
              <w:rPr>
                <w:rFonts w:ascii="Arial" w:hAnsi="Arial" w:cs="Arial"/>
                <w:bCs/>
                <w:sz w:val="18"/>
              </w:rPr>
              <w:t>Hot-Humid</w:t>
            </w:r>
          </w:p>
        </w:tc>
        <w:tc>
          <w:tcPr>
            <w:tcW w:w="397" w:type="pct"/>
            <w:tcBorders>
              <w:top w:val="single" w:sz="4" w:space="0" w:color="1F497D" w:themeColor="text2"/>
              <w:left w:val="single" w:sz="4" w:space="0" w:color="4F81BD" w:themeColor="accent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13445D7A" w14:textId="77777777" w:rsidR="00915A5B" w:rsidRPr="00A60B5A" w:rsidRDefault="00915A5B" w:rsidP="006B7709">
            <w:pPr>
              <w:jc w:val="center"/>
              <w:rPr>
                <w:rFonts w:ascii="Arial" w:hAnsi="Arial" w:cs="Arial"/>
                <w:sz w:val="18"/>
              </w:rPr>
            </w:pPr>
            <w:r w:rsidRPr="00A60B5A">
              <w:rPr>
                <w:rFonts w:ascii="Arial" w:hAnsi="Arial" w:cs="Arial"/>
                <w:bCs/>
                <w:sz w:val="18"/>
              </w:rPr>
              <w:t>22220</w:t>
            </w:r>
          </w:p>
        </w:tc>
        <w:tc>
          <w:tcPr>
            <w:tcW w:w="451" w:type="pct"/>
            <w:vMerge w:val="restart"/>
            <w:tcBorders>
              <w:top w:val="single" w:sz="4" w:space="0" w:color="1F497D" w:themeColor="text2"/>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center"/>
            <w:hideMark/>
          </w:tcPr>
          <w:p w14:paraId="40C2CED6" w14:textId="77777777" w:rsidR="00915A5B" w:rsidRPr="00A60B5A" w:rsidRDefault="00915A5B" w:rsidP="006B7709">
            <w:pPr>
              <w:jc w:val="center"/>
              <w:rPr>
                <w:rFonts w:ascii="Arial" w:hAnsi="Arial" w:cs="Arial"/>
                <w:sz w:val="18"/>
              </w:rPr>
            </w:pPr>
            <w:r w:rsidRPr="00E05C07">
              <w:rPr>
                <w:rFonts w:ascii="Arial" w:hAnsi="Arial" w:cs="Arial"/>
                <w:bCs/>
                <w:sz w:val="18"/>
              </w:rPr>
              <w:t>1202293</w:t>
            </w:r>
          </w:p>
        </w:tc>
        <w:tc>
          <w:tcPr>
            <w:tcW w:w="452" w:type="pct"/>
            <w:tcBorders>
              <w:top w:val="single" w:sz="4" w:space="0" w:color="1F497D" w:themeColor="text2"/>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0C85C674" w14:textId="77777777" w:rsidR="00915A5B" w:rsidRPr="00A60B5A" w:rsidRDefault="00915A5B" w:rsidP="006B7709">
            <w:pPr>
              <w:jc w:val="center"/>
              <w:rPr>
                <w:rFonts w:ascii="Arial" w:hAnsi="Arial" w:cs="Arial"/>
                <w:sz w:val="18"/>
              </w:rPr>
            </w:pPr>
            <w:r w:rsidRPr="00A60B5A">
              <w:rPr>
                <w:rFonts w:ascii="Arial" w:hAnsi="Arial" w:cs="Arial"/>
                <w:bCs/>
                <w:sz w:val="18"/>
              </w:rPr>
              <w:t>0.0102</w:t>
            </w:r>
          </w:p>
        </w:tc>
        <w:tc>
          <w:tcPr>
            <w:tcW w:w="354" w:type="pct"/>
            <w:vMerge w:val="restart"/>
            <w:tcBorders>
              <w:top w:val="single" w:sz="4" w:space="0" w:color="1F497D" w:themeColor="text2"/>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center"/>
            <w:hideMark/>
          </w:tcPr>
          <w:p w14:paraId="031B1A66" w14:textId="77777777" w:rsidR="00915A5B" w:rsidRPr="00A60B5A" w:rsidRDefault="00915A5B" w:rsidP="006B7709">
            <w:pPr>
              <w:jc w:val="center"/>
              <w:rPr>
                <w:rFonts w:ascii="Arial" w:hAnsi="Arial" w:cs="Arial"/>
                <w:sz w:val="18"/>
              </w:rPr>
            </w:pPr>
            <w:r>
              <w:rPr>
                <w:rFonts w:ascii="Arial" w:hAnsi="Arial" w:cs="Arial"/>
                <w:bCs/>
                <w:sz w:val="18"/>
              </w:rPr>
              <w:t>14.5</w:t>
            </w:r>
          </w:p>
        </w:tc>
        <w:tc>
          <w:tcPr>
            <w:tcW w:w="404" w:type="pct"/>
            <w:tcBorders>
              <w:top w:val="single" w:sz="4" w:space="0" w:color="1F497D" w:themeColor="text2"/>
              <w:left w:val="single" w:sz="8" w:space="0" w:color="0079C1"/>
              <w:bottom w:val="single" w:sz="8" w:space="0" w:color="0079C1"/>
              <w:right w:val="single" w:sz="8" w:space="0" w:color="0079C1"/>
            </w:tcBorders>
            <w:vAlign w:val="bottom"/>
          </w:tcPr>
          <w:p w14:paraId="41D06EC1" w14:textId="77777777" w:rsidR="00915A5B" w:rsidRPr="00A60B5A" w:rsidRDefault="00915A5B" w:rsidP="006B7709">
            <w:pPr>
              <w:jc w:val="center"/>
              <w:rPr>
                <w:rFonts w:ascii="Arial" w:hAnsi="Arial" w:cs="Arial"/>
                <w:bCs/>
                <w:sz w:val="18"/>
              </w:rPr>
            </w:pPr>
            <w:r w:rsidRPr="00A60B5A">
              <w:rPr>
                <w:rFonts w:ascii="Arial" w:hAnsi="Arial" w:cs="Arial"/>
                <w:bCs/>
                <w:sz w:val="18"/>
              </w:rPr>
              <w:t>0.45</w:t>
            </w:r>
          </w:p>
        </w:tc>
        <w:tc>
          <w:tcPr>
            <w:tcW w:w="354" w:type="pct"/>
            <w:vMerge w:val="restart"/>
            <w:tcBorders>
              <w:top w:val="single" w:sz="4" w:space="0" w:color="1F497D" w:themeColor="text2"/>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center"/>
            <w:hideMark/>
          </w:tcPr>
          <w:p w14:paraId="7435C8B1" w14:textId="77777777" w:rsidR="00915A5B" w:rsidRPr="00A60B5A" w:rsidRDefault="00915A5B" w:rsidP="006B7709">
            <w:pPr>
              <w:jc w:val="center"/>
              <w:rPr>
                <w:rFonts w:ascii="Arial" w:hAnsi="Arial" w:cs="Arial"/>
                <w:sz w:val="18"/>
              </w:rPr>
            </w:pPr>
            <w:r>
              <w:rPr>
                <w:rFonts w:ascii="Arial" w:hAnsi="Arial" w:cs="Arial"/>
                <w:bCs/>
                <w:sz w:val="18"/>
              </w:rPr>
              <w:t>14.2</w:t>
            </w:r>
          </w:p>
        </w:tc>
        <w:tc>
          <w:tcPr>
            <w:tcW w:w="404" w:type="pct"/>
            <w:tcBorders>
              <w:top w:val="single" w:sz="4" w:space="0" w:color="1F497D" w:themeColor="text2"/>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4E611254" w14:textId="77777777" w:rsidR="00915A5B" w:rsidRPr="00A60B5A" w:rsidRDefault="00915A5B" w:rsidP="006B7709">
            <w:pPr>
              <w:jc w:val="center"/>
              <w:rPr>
                <w:rFonts w:ascii="Arial" w:hAnsi="Arial" w:cs="Arial"/>
                <w:sz w:val="18"/>
              </w:rPr>
            </w:pPr>
            <w:r w:rsidRPr="00A60B5A">
              <w:rPr>
                <w:rFonts w:ascii="Arial" w:hAnsi="Arial" w:cs="Arial"/>
                <w:bCs/>
                <w:sz w:val="18"/>
              </w:rPr>
              <w:t>0.26</w:t>
            </w:r>
          </w:p>
        </w:tc>
        <w:tc>
          <w:tcPr>
            <w:tcW w:w="554" w:type="pct"/>
            <w:tcBorders>
              <w:top w:val="single" w:sz="4" w:space="0" w:color="1F497D" w:themeColor="text2"/>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7D090D3C" w14:textId="77777777" w:rsidR="00915A5B" w:rsidRPr="00A60B5A" w:rsidRDefault="00915A5B" w:rsidP="006B7709">
            <w:pPr>
              <w:jc w:val="center"/>
              <w:rPr>
                <w:rFonts w:ascii="Arial" w:hAnsi="Arial" w:cs="Arial"/>
                <w:sz w:val="18"/>
              </w:rPr>
            </w:pPr>
            <w:r w:rsidRPr="00A60B5A">
              <w:rPr>
                <w:rFonts w:ascii="Arial" w:hAnsi="Arial" w:cs="Arial"/>
                <w:bCs/>
                <w:sz w:val="18"/>
              </w:rPr>
              <w:t>0.91</w:t>
            </w:r>
          </w:p>
        </w:tc>
      </w:tr>
      <w:tr w:rsidR="00915A5B" w:rsidRPr="00A60B5A" w14:paraId="4FC0DA71" w14:textId="77777777" w:rsidTr="006B7709">
        <w:trPr>
          <w:trHeight w:val="192"/>
        </w:trPr>
        <w:tc>
          <w:tcPr>
            <w:tcW w:w="563"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40EB89EC" w14:textId="77777777" w:rsidR="00915A5B" w:rsidRPr="001F682D" w:rsidRDefault="00915A5B" w:rsidP="006B7709">
            <w:pPr>
              <w:jc w:val="center"/>
              <w:rPr>
                <w:rFonts w:ascii="Arial" w:hAnsi="Arial" w:cs="Arial"/>
                <w:b/>
                <w:sz w:val="18"/>
              </w:rPr>
            </w:pPr>
            <w:r>
              <w:rPr>
                <w:rFonts w:ascii="Arial" w:hAnsi="Arial" w:cs="Arial"/>
                <w:b/>
                <w:bCs/>
                <w:sz w:val="18"/>
              </w:rPr>
              <w:t>AL-KY-MI</w:t>
            </w:r>
          </w:p>
        </w:tc>
        <w:tc>
          <w:tcPr>
            <w:tcW w:w="555" w:type="pct"/>
            <w:tcBorders>
              <w:top w:val="single" w:sz="8" w:space="0" w:color="0079C1"/>
              <w:left w:val="single" w:sz="8" w:space="0" w:color="0079C1"/>
              <w:bottom w:val="single" w:sz="8" w:space="0" w:color="0079C1"/>
              <w:right w:val="single" w:sz="18" w:space="0" w:color="4F81BD" w:themeColor="accent1"/>
            </w:tcBorders>
            <w:shd w:val="clear" w:color="auto" w:fill="auto"/>
            <w:tcMar>
              <w:top w:w="12" w:type="dxa"/>
              <w:left w:w="12" w:type="dxa"/>
              <w:bottom w:w="0" w:type="dxa"/>
              <w:right w:w="12" w:type="dxa"/>
            </w:tcMar>
            <w:vAlign w:val="bottom"/>
            <w:hideMark/>
          </w:tcPr>
          <w:p w14:paraId="2716EA38" w14:textId="77777777" w:rsidR="00915A5B" w:rsidRPr="001F682D" w:rsidRDefault="00915A5B" w:rsidP="006B7709">
            <w:pPr>
              <w:jc w:val="center"/>
              <w:rPr>
                <w:rFonts w:ascii="Arial" w:hAnsi="Arial" w:cs="Arial"/>
                <w:b/>
                <w:sz w:val="18"/>
              </w:rPr>
            </w:pPr>
            <w:r w:rsidRPr="001F682D">
              <w:rPr>
                <w:rFonts w:ascii="Arial" w:hAnsi="Arial" w:cs="Arial"/>
                <w:b/>
                <w:bCs/>
                <w:sz w:val="18"/>
              </w:rPr>
              <w:t>Baldwin</w:t>
            </w:r>
          </w:p>
        </w:tc>
        <w:tc>
          <w:tcPr>
            <w:tcW w:w="512" w:type="pct"/>
            <w:tcBorders>
              <w:top w:val="single" w:sz="8" w:space="0" w:color="0079C1"/>
              <w:left w:val="single" w:sz="18" w:space="0" w:color="4F81BD" w:themeColor="accent1"/>
              <w:bottom w:val="single" w:sz="8" w:space="0" w:color="0079C1"/>
              <w:right w:val="single" w:sz="4" w:space="0" w:color="4F81BD" w:themeColor="accent1"/>
            </w:tcBorders>
          </w:tcPr>
          <w:p w14:paraId="352424C3" w14:textId="77777777" w:rsidR="00915A5B" w:rsidRPr="00A60B5A" w:rsidRDefault="00915A5B" w:rsidP="006B7709">
            <w:pPr>
              <w:jc w:val="center"/>
              <w:rPr>
                <w:rFonts w:ascii="Arial" w:hAnsi="Arial" w:cs="Arial"/>
                <w:bCs/>
                <w:sz w:val="18"/>
              </w:rPr>
            </w:pPr>
            <w:r>
              <w:rPr>
                <w:rFonts w:ascii="Arial" w:hAnsi="Arial" w:cs="Arial"/>
                <w:bCs/>
                <w:sz w:val="18"/>
              </w:rPr>
              <w:t>Hot-Humid</w:t>
            </w:r>
          </w:p>
        </w:tc>
        <w:tc>
          <w:tcPr>
            <w:tcW w:w="397" w:type="pct"/>
            <w:tcBorders>
              <w:top w:val="single" w:sz="8" w:space="0" w:color="0079C1"/>
              <w:left w:val="single" w:sz="4" w:space="0" w:color="4F81BD" w:themeColor="accent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46A30C14" w14:textId="77777777" w:rsidR="00915A5B" w:rsidRPr="00A60B5A" w:rsidRDefault="00915A5B" w:rsidP="006B7709">
            <w:pPr>
              <w:jc w:val="center"/>
              <w:rPr>
                <w:rFonts w:ascii="Arial" w:hAnsi="Arial" w:cs="Arial"/>
                <w:sz w:val="18"/>
              </w:rPr>
            </w:pPr>
            <w:r w:rsidRPr="00A60B5A">
              <w:rPr>
                <w:rFonts w:ascii="Arial" w:hAnsi="Arial" w:cs="Arial"/>
                <w:bCs/>
                <w:sz w:val="18"/>
              </w:rPr>
              <w:t>104648</w:t>
            </w:r>
          </w:p>
        </w:tc>
        <w:tc>
          <w:tcPr>
            <w:tcW w:w="451"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781340CA" w14:textId="77777777" w:rsidR="00915A5B" w:rsidRPr="00A60B5A" w:rsidRDefault="00915A5B" w:rsidP="006B7709">
            <w:pPr>
              <w:jc w:val="center"/>
              <w:rPr>
                <w:rFonts w:ascii="Arial" w:hAnsi="Arial" w:cs="Arial"/>
                <w:sz w:val="18"/>
              </w:rPr>
            </w:pPr>
          </w:p>
        </w:tc>
        <w:tc>
          <w:tcPr>
            <w:tcW w:w="452"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15A98A4F" w14:textId="77777777" w:rsidR="00915A5B" w:rsidRPr="00A60B5A" w:rsidRDefault="00915A5B" w:rsidP="006B7709">
            <w:pPr>
              <w:jc w:val="center"/>
              <w:rPr>
                <w:rFonts w:ascii="Arial" w:hAnsi="Arial" w:cs="Arial"/>
                <w:sz w:val="18"/>
              </w:rPr>
            </w:pPr>
            <w:r w:rsidRPr="00A60B5A">
              <w:rPr>
                <w:rFonts w:ascii="Arial" w:hAnsi="Arial" w:cs="Arial"/>
                <w:bCs/>
                <w:sz w:val="18"/>
              </w:rPr>
              <w:t>0.048</w:t>
            </w:r>
          </w:p>
        </w:tc>
        <w:tc>
          <w:tcPr>
            <w:tcW w:w="354"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242BB52B"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vAlign w:val="bottom"/>
          </w:tcPr>
          <w:p w14:paraId="3BD1FC80" w14:textId="77777777" w:rsidR="00915A5B" w:rsidRPr="00A60B5A" w:rsidRDefault="00915A5B" w:rsidP="006B7709">
            <w:pPr>
              <w:jc w:val="center"/>
              <w:rPr>
                <w:rFonts w:ascii="Arial" w:hAnsi="Arial" w:cs="Arial"/>
                <w:sz w:val="18"/>
              </w:rPr>
            </w:pPr>
            <w:r w:rsidRPr="00A60B5A">
              <w:rPr>
                <w:rFonts w:ascii="Arial" w:hAnsi="Arial" w:cs="Arial"/>
                <w:bCs/>
                <w:sz w:val="18"/>
              </w:rPr>
              <w:t>2.12</w:t>
            </w:r>
          </w:p>
        </w:tc>
        <w:tc>
          <w:tcPr>
            <w:tcW w:w="354"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01D09817"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3A6758D0" w14:textId="77777777" w:rsidR="00915A5B" w:rsidRPr="00A60B5A" w:rsidRDefault="00915A5B" w:rsidP="006B7709">
            <w:pPr>
              <w:jc w:val="center"/>
              <w:rPr>
                <w:rFonts w:ascii="Arial" w:hAnsi="Arial" w:cs="Arial"/>
                <w:sz w:val="18"/>
              </w:rPr>
            </w:pPr>
            <w:r w:rsidRPr="00A60B5A">
              <w:rPr>
                <w:rFonts w:ascii="Arial" w:hAnsi="Arial" w:cs="Arial"/>
                <w:bCs/>
                <w:sz w:val="18"/>
              </w:rPr>
              <w:t>1.22</w:t>
            </w:r>
          </w:p>
        </w:tc>
        <w:tc>
          <w:tcPr>
            <w:tcW w:w="55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29C6EEB8" w14:textId="77777777" w:rsidR="00915A5B" w:rsidRPr="00A60B5A" w:rsidRDefault="00915A5B" w:rsidP="006B7709">
            <w:pPr>
              <w:jc w:val="center"/>
              <w:rPr>
                <w:rFonts w:ascii="Arial" w:hAnsi="Arial" w:cs="Arial"/>
                <w:sz w:val="18"/>
              </w:rPr>
            </w:pPr>
            <w:r w:rsidRPr="00A60B5A">
              <w:rPr>
                <w:rFonts w:ascii="Arial" w:hAnsi="Arial" w:cs="Arial"/>
                <w:bCs/>
                <w:sz w:val="18"/>
              </w:rPr>
              <w:t>3.34</w:t>
            </w:r>
          </w:p>
        </w:tc>
      </w:tr>
      <w:tr w:rsidR="00915A5B" w:rsidRPr="00A60B5A" w14:paraId="13136FC5" w14:textId="77777777" w:rsidTr="006B7709">
        <w:trPr>
          <w:trHeight w:val="192"/>
        </w:trPr>
        <w:tc>
          <w:tcPr>
            <w:tcW w:w="563"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3488F379" w14:textId="77777777" w:rsidR="00915A5B" w:rsidRPr="001F682D" w:rsidRDefault="00915A5B" w:rsidP="006B7709">
            <w:pPr>
              <w:jc w:val="center"/>
              <w:rPr>
                <w:rFonts w:ascii="Arial" w:hAnsi="Arial" w:cs="Arial"/>
                <w:b/>
                <w:sz w:val="18"/>
              </w:rPr>
            </w:pPr>
            <w:r>
              <w:rPr>
                <w:rFonts w:ascii="Arial" w:hAnsi="Arial" w:cs="Arial"/>
                <w:b/>
                <w:bCs/>
                <w:sz w:val="18"/>
              </w:rPr>
              <w:t>AL-KY-MI</w:t>
            </w:r>
          </w:p>
        </w:tc>
        <w:tc>
          <w:tcPr>
            <w:tcW w:w="555" w:type="pct"/>
            <w:tcBorders>
              <w:top w:val="single" w:sz="8" w:space="0" w:color="0079C1"/>
              <w:left w:val="single" w:sz="8" w:space="0" w:color="0079C1"/>
              <w:bottom w:val="single" w:sz="8" w:space="0" w:color="0079C1"/>
              <w:right w:val="single" w:sz="18" w:space="0" w:color="4F81BD" w:themeColor="accent1"/>
            </w:tcBorders>
            <w:shd w:val="clear" w:color="auto" w:fill="auto"/>
            <w:tcMar>
              <w:top w:w="12" w:type="dxa"/>
              <w:left w:w="12" w:type="dxa"/>
              <w:bottom w:w="0" w:type="dxa"/>
              <w:right w:w="12" w:type="dxa"/>
            </w:tcMar>
            <w:vAlign w:val="bottom"/>
            <w:hideMark/>
          </w:tcPr>
          <w:p w14:paraId="04F13B4F" w14:textId="77777777" w:rsidR="00915A5B" w:rsidRPr="001F682D" w:rsidRDefault="00915A5B" w:rsidP="006B7709">
            <w:pPr>
              <w:jc w:val="center"/>
              <w:rPr>
                <w:rFonts w:ascii="Arial" w:hAnsi="Arial" w:cs="Arial"/>
                <w:b/>
                <w:sz w:val="18"/>
              </w:rPr>
            </w:pPr>
            <w:r w:rsidRPr="001F682D">
              <w:rPr>
                <w:rFonts w:ascii="Arial" w:hAnsi="Arial" w:cs="Arial"/>
                <w:b/>
                <w:bCs/>
                <w:sz w:val="18"/>
              </w:rPr>
              <w:t>Barbour</w:t>
            </w:r>
          </w:p>
        </w:tc>
        <w:tc>
          <w:tcPr>
            <w:tcW w:w="512" w:type="pct"/>
            <w:tcBorders>
              <w:top w:val="single" w:sz="8" w:space="0" w:color="0079C1"/>
              <w:left w:val="single" w:sz="18" w:space="0" w:color="4F81BD" w:themeColor="accent1"/>
              <w:bottom w:val="single" w:sz="8" w:space="0" w:color="0079C1"/>
              <w:right w:val="single" w:sz="4" w:space="0" w:color="4F81BD" w:themeColor="accent1"/>
            </w:tcBorders>
          </w:tcPr>
          <w:p w14:paraId="357CEAB7" w14:textId="77777777" w:rsidR="00915A5B" w:rsidRPr="00A60B5A" w:rsidRDefault="00915A5B" w:rsidP="006B7709">
            <w:pPr>
              <w:jc w:val="center"/>
              <w:rPr>
                <w:rFonts w:ascii="Arial" w:hAnsi="Arial" w:cs="Arial"/>
                <w:bCs/>
                <w:sz w:val="18"/>
              </w:rPr>
            </w:pPr>
            <w:r>
              <w:rPr>
                <w:rFonts w:ascii="Arial" w:hAnsi="Arial" w:cs="Arial"/>
                <w:bCs/>
                <w:sz w:val="18"/>
              </w:rPr>
              <w:t>Hot-Humid</w:t>
            </w:r>
          </w:p>
        </w:tc>
        <w:tc>
          <w:tcPr>
            <w:tcW w:w="397" w:type="pct"/>
            <w:tcBorders>
              <w:top w:val="single" w:sz="8" w:space="0" w:color="0079C1"/>
              <w:left w:val="single" w:sz="4" w:space="0" w:color="4F81BD" w:themeColor="accent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14453DFB" w14:textId="77777777" w:rsidR="00915A5B" w:rsidRPr="00A60B5A" w:rsidRDefault="00915A5B" w:rsidP="006B7709">
            <w:pPr>
              <w:jc w:val="center"/>
              <w:rPr>
                <w:rFonts w:ascii="Arial" w:hAnsi="Arial" w:cs="Arial"/>
                <w:sz w:val="18"/>
              </w:rPr>
            </w:pPr>
            <w:r w:rsidRPr="00A60B5A">
              <w:rPr>
                <w:rFonts w:ascii="Arial" w:hAnsi="Arial" w:cs="Arial"/>
                <w:bCs/>
                <w:sz w:val="18"/>
              </w:rPr>
              <w:t>11790</w:t>
            </w:r>
          </w:p>
        </w:tc>
        <w:tc>
          <w:tcPr>
            <w:tcW w:w="451"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3F67954F" w14:textId="77777777" w:rsidR="00915A5B" w:rsidRPr="00A60B5A" w:rsidRDefault="00915A5B" w:rsidP="006B7709">
            <w:pPr>
              <w:jc w:val="center"/>
              <w:rPr>
                <w:rFonts w:ascii="Arial" w:hAnsi="Arial" w:cs="Arial"/>
                <w:sz w:val="18"/>
              </w:rPr>
            </w:pPr>
          </w:p>
        </w:tc>
        <w:tc>
          <w:tcPr>
            <w:tcW w:w="452"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03D7CA59" w14:textId="77777777" w:rsidR="00915A5B" w:rsidRPr="00A60B5A" w:rsidRDefault="00915A5B" w:rsidP="006B7709">
            <w:pPr>
              <w:jc w:val="center"/>
              <w:rPr>
                <w:rFonts w:ascii="Arial" w:hAnsi="Arial" w:cs="Arial"/>
                <w:sz w:val="18"/>
              </w:rPr>
            </w:pPr>
            <w:r w:rsidRPr="00A60B5A">
              <w:rPr>
                <w:rFonts w:ascii="Arial" w:hAnsi="Arial" w:cs="Arial"/>
                <w:bCs/>
                <w:sz w:val="18"/>
              </w:rPr>
              <w:t>0.0054</w:t>
            </w:r>
          </w:p>
        </w:tc>
        <w:tc>
          <w:tcPr>
            <w:tcW w:w="354"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087A7939"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vAlign w:val="bottom"/>
          </w:tcPr>
          <w:p w14:paraId="5D893EB8" w14:textId="77777777" w:rsidR="00915A5B" w:rsidRPr="00A60B5A" w:rsidRDefault="00915A5B" w:rsidP="006B7709">
            <w:pPr>
              <w:jc w:val="center"/>
              <w:rPr>
                <w:rFonts w:ascii="Arial" w:hAnsi="Arial" w:cs="Arial"/>
                <w:sz w:val="18"/>
              </w:rPr>
            </w:pPr>
            <w:r w:rsidRPr="00A60B5A">
              <w:rPr>
                <w:rFonts w:ascii="Arial" w:hAnsi="Arial" w:cs="Arial"/>
                <w:bCs/>
                <w:sz w:val="18"/>
              </w:rPr>
              <w:t>0.24</w:t>
            </w:r>
          </w:p>
        </w:tc>
        <w:tc>
          <w:tcPr>
            <w:tcW w:w="354"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75380FD4"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02C422F1" w14:textId="77777777" w:rsidR="00915A5B" w:rsidRPr="00A60B5A" w:rsidRDefault="00915A5B" w:rsidP="006B7709">
            <w:pPr>
              <w:jc w:val="center"/>
              <w:rPr>
                <w:rFonts w:ascii="Arial" w:hAnsi="Arial" w:cs="Arial"/>
                <w:sz w:val="18"/>
              </w:rPr>
            </w:pPr>
            <w:r w:rsidRPr="00A60B5A">
              <w:rPr>
                <w:rFonts w:ascii="Arial" w:hAnsi="Arial" w:cs="Arial"/>
                <w:bCs/>
                <w:sz w:val="18"/>
              </w:rPr>
              <w:t>0.14</w:t>
            </w:r>
          </w:p>
        </w:tc>
        <w:tc>
          <w:tcPr>
            <w:tcW w:w="55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397D32D2" w14:textId="77777777" w:rsidR="00915A5B" w:rsidRPr="00A60B5A" w:rsidRDefault="00915A5B" w:rsidP="006B7709">
            <w:pPr>
              <w:jc w:val="center"/>
              <w:rPr>
                <w:rFonts w:ascii="Arial" w:hAnsi="Arial" w:cs="Arial"/>
                <w:sz w:val="18"/>
              </w:rPr>
            </w:pPr>
            <w:r w:rsidRPr="00A60B5A">
              <w:rPr>
                <w:rFonts w:ascii="Arial" w:hAnsi="Arial" w:cs="Arial"/>
                <w:bCs/>
                <w:sz w:val="18"/>
              </w:rPr>
              <w:t>0.38</w:t>
            </w:r>
          </w:p>
        </w:tc>
      </w:tr>
      <w:tr w:rsidR="00915A5B" w:rsidRPr="00A60B5A" w14:paraId="54EDE6FF" w14:textId="77777777" w:rsidTr="006B7709">
        <w:trPr>
          <w:trHeight w:val="192"/>
        </w:trPr>
        <w:tc>
          <w:tcPr>
            <w:tcW w:w="563"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6BB39C00" w14:textId="77777777" w:rsidR="00915A5B" w:rsidRPr="001F682D" w:rsidRDefault="00915A5B" w:rsidP="006B7709">
            <w:pPr>
              <w:jc w:val="center"/>
              <w:rPr>
                <w:rFonts w:ascii="Arial" w:hAnsi="Arial" w:cs="Arial"/>
                <w:b/>
                <w:sz w:val="18"/>
              </w:rPr>
            </w:pPr>
            <w:r>
              <w:rPr>
                <w:rFonts w:ascii="Arial" w:hAnsi="Arial" w:cs="Arial"/>
                <w:b/>
                <w:bCs/>
                <w:sz w:val="18"/>
              </w:rPr>
              <w:t>AL-KY-MI</w:t>
            </w:r>
          </w:p>
        </w:tc>
        <w:tc>
          <w:tcPr>
            <w:tcW w:w="555" w:type="pct"/>
            <w:tcBorders>
              <w:top w:val="single" w:sz="8" w:space="0" w:color="0079C1"/>
              <w:left w:val="single" w:sz="8" w:space="0" w:color="0079C1"/>
              <w:bottom w:val="single" w:sz="8" w:space="0" w:color="0079C1"/>
              <w:right w:val="single" w:sz="18" w:space="0" w:color="4F81BD" w:themeColor="accent1"/>
            </w:tcBorders>
            <w:shd w:val="clear" w:color="auto" w:fill="auto"/>
            <w:tcMar>
              <w:top w:w="12" w:type="dxa"/>
              <w:left w:w="12" w:type="dxa"/>
              <w:bottom w:w="0" w:type="dxa"/>
              <w:right w:w="12" w:type="dxa"/>
            </w:tcMar>
            <w:vAlign w:val="bottom"/>
            <w:hideMark/>
          </w:tcPr>
          <w:p w14:paraId="6474981F" w14:textId="77777777" w:rsidR="00915A5B" w:rsidRPr="001F682D" w:rsidRDefault="00915A5B" w:rsidP="006B7709">
            <w:pPr>
              <w:jc w:val="center"/>
              <w:rPr>
                <w:rFonts w:ascii="Arial" w:hAnsi="Arial" w:cs="Arial"/>
                <w:b/>
                <w:sz w:val="18"/>
              </w:rPr>
            </w:pPr>
            <w:r w:rsidRPr="001F682D">
              <w:rPr>
                <w:rFonts w:ascii="Arial" w:hAnsi="Arial" w:cs="Arial"/>
                <w:b/>
                <w:bCs/>
                <w:sz w:val="18"/>
              </w:rPr>
              <w:t>Bullock</w:t>
            </w:r>
          </w:p>
        </w:tc>
        <w:tc>
          <w:tcPr>
            <w:tcW w:w="512" w:type="pct"/>
            <w:tcBorders>
              <w:top w:val="single" w:sz="8" w:space="0" w:color="0079C1"/>
              <w:left w:val="single" w:sz="18" w:space="0" w:color="4F81BD" w:themeColor="accent1"/>
              <w:bottom w:val="single" w:sz="8" w:space="0" w:color="0079C1"/>
              <w:right w:val="single" w:sz="4" w:space="0" w:color="4F81BD" w:themeColor="accent1"/>
            </w:tcBorders>
          </w:tcPr>
          <w:p w14:paraId="67FCBB4B" w14:textId="77777777" w:rsidR="00915A5B" w:rsidRPr="00A60B5A" w:rsidRDefault="00915A5B" w:rsidP="006B7709">
            <w:pPr>
              <w:jc w:val="center"/>
              <w:rPr>
                <w:rFonts w:ascii="Arial" w:hAnsi="Arial" w:cs="Arial"/>
                <w:bCs/>
                <w:sz w:val="18"/>
              </w:rPr>
            </w:pPr>
            <w:r>
              <w:rPr>
                <w:rFonts w:ascii="Arial" w:hAnsi="Arial" w:cs="Arial"/>
                <w:bCs/>
                <w:sz w:val="18"/>
              </w:rPr>
              <w:t>Hot-Humid</w:t>
            </w:r>
          </w:p>
        </w:tc>
        <w:tc>
          <w:tcPr>
            <w:tcW w:w="397" w:type="pct"/>
            <w:tcBorders>
              <w:top w:val="single" w:sz="8" w:space="0" w:color="0079C1"/>
              <w:left w:val="single" w:sz="4" w:space="0" w:color="4F81BD" w:themeColor="accent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65AA2ADF" w14:textId="77777777" w:rsidR="00915A5B" w:rsidRPr="00A60B5A" w:rsidRDefault="00915A5B" w:rsidP="006B7709">
            <w:pPr>
              <w:jc w:val="center"/>
              <w:rPr>
                <w:rFonts w:ascii="Arial" w:hAnsi="Arial" w:cs="Arial"/>
                <w:sz w:val="18"/>
              </w:rPr>
            </w:pPr>
            <w:r w:rsidRPr="00A60B5A">
              <w:rPr>
                <w:rFonts w:ascii="Arial" w:hAnsi="Arial" w:cs="Arial"/>
                <w:bCs/>
                <w:sz w:val="18"/>
              </w:rPr>
              <w:t>4468</w:t>
            </w:r>
          </w:p>
        </w:tc>
        <w:tc>
          <w:tcPr>
            <w:tcW w:w="451"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4C3BAC2A" w14:textId="77777777" w:rsidR="00915A5B" w:rsidRPr="00A60B5A" w:rsidRDefault="00915A5B" w:rsidP="006B7709">
            <w:pPr>
              <w:jc w:val="center"/>
              <w:rPr>
                <w:rFonts w:ascii="Arial" w:hAnsi="Arial" w:cs="Arial"/>
                <w:sz w:val="18"/>
              </w:rPr>
            </w:pPr>
          </w:p>
        </w:tc>
        <w:tc>
          <w:tcPr>
            <w:tcW w:w="452"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2848AA77" w14:textId="77777777" w:rsidR="00915A5B" w:rsidRPr="00A60B5A" w:rsidRDefault="00915A5B" w:rsidP="006B7709">
            <w:pPr>
              <w:jc w:val="center"/>
              <w:rPr>
                <w:rFonts w:ascii="Arial" w:hAnsi="Arial" w:cs="Arial"/>
                <w:sz w:val="18"/>
              </w:rPr>
            </w:pPr>
            <w:r w:rsidRPr="00A60B5A">
              <w:rPr>
                <w:rFonts w:ascii="Arial" w:hAnsi="Arial" w:cs="Arial"/>
                <w:bCs/>
                <w:sz w:val="18"/>
              </w:rPr>
              <w:t>0.0021</w:t>
            </w:r>
          </w:p>
        </w:tc>
        <w:tc>
          <w:tcPr>
            <w:tcW w:w="354"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06C05D98"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vAlign w:val="bottom"/>
          </w:tcPr>
          <w:p w14:paraId="1CD332D7" w14:textId="77777777" w:rsidR="00915A5B" w:rsidRPr="00A60B5A" w:rsidRDefault="00915A5B" w:rsidP="006B7709">
            <w:pPr>
              <w:jc w:val="center"/>
              <w:rPr>
                <w:rFonts w:ascii="Arial" w:hAnsi="Arial" w:cs="Arial"/>
                <w:sz w:val="18"/>
              </w:rPr>
            </w:pPr>
            <w:r w:rsidRPr="00A60B5A">
              <w:rPr>
                <w:rFonts w:ascii="Arial" w:hAnsi="Arial" w:cs="Arial"/>
                <w:bCs/>
                <w:sz w:val="18"/>
              </w:rPr>
              <w:t>0.09</w:t>
            </w:r>
          </w:p>
        </w:tc>
        <w:tc>
          <w:tcPr>
            <w:tcW w:w="354"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6D52126F"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009A0C3D" w14:textId="77777777" w:rsidR="00915A5B" w:rsidRPr="00A60B5A" w:rsidRDefault="00915A5B" w:rsidP="006B7709">
            <w:pPr>
              <w:jc w:val="center"/>
              <w:rPr>
                <w:rFonts w:ascii="Arial" w:hAnsi="Arial" w:cs="Arial"/>
                <w:sz w:val="18"/>
              </w:rPr>
            </w:pPr>
            <w:r w:rsidRPr="00A60B5A">
              <w:rPr>
                <w:rFonts w:ascii="Arial" w:hAnsi="Arial" w:cs="Arial"/>
                <w:bCs/>
                <w:sz w:val="18"/>
              </w:rPr>
              <w:t>0.05</w:t>
            </w:r>
          </w:p>
        </w:tc>
        <w:tc>
          <w:tcPr>
            <w:tcW w:w="55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30D42075" w14:textId="77777777" w:rsidR="00915A5B" w:rsidRPr="00A60B5A" w:rsidRDefault="00915A5B" w:rsidP="006B7709">
            <w:pPr>
              <w:jc w:val="center"/>
              <w:rPr>
                <w:rFonts w:ascii="Arial" w:hAnsi="Arial" w:cs="Arial"/>
                <w:sz w:val="18"/>
              </w:rPr>
            </w:pPr>
            <w:r w:rsidRPr="00A60B5A">
              <w:rPr>
                <w:rFonts w:ascii="Arial" w:hAnsi="Arial" w:cs="Arial"/>
                <w:bCs/>
                <w:sz w:val="18"/>
              </w:rPr>
              <w:t>0.14</w:t>
            </w:r>
          </w:p>
        </w:tc>
      </w:tr>
      <w:tr w:rsidR="00915A5B" w:rsidRPr="00A60B5A" w14:paraId="35F474E0" w14:textId="77777777" w:rsidTr="006B7709">
        <w:trPr>
          <w:trHeight w:val="192"/>
        </w:trPr>
        <w:tc>
          <w:tcPr>
            <w:tcW w:w="563"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45C39659" w14:textId="77777777" w:rsidR="00915A5B" w:rsidRPr="001F682D" w:rsidRDefault="00915A5B" w:rsidP="006B7709">
            <w:pPr>
              <w:jc w:val="center"/>
              <w:rPr>
                <w:rFonts w:ascii="Arial" w:hAnsi="Arial" w:cs="Arial"/>
                <w:b/>
                <w:sz w:val="18"/>
              </w:rPr>
            </w:pPr>
            <w:r>
              <w:rPr>
                <w:rFonts w:ascii="Arial" w:hAnsi="Arial" w:cs="Arial"/>
                <w:b/>
                <w:bCs/>
                <w:sz w:val="18"/>
              </w:rPr>
              <w:t>AL-KY-MI</w:t>
            </w:r>
          </w:p>
        </w:tc>
        <w:tc>
          <w:tcPr>
            <w:tcW w:w="555" w:type="pct"/>
            <w:tcBorders>
              <w:top w:val="single" w:sz="8" w:space="0" w:color="0079C1"/>
              <w:left w:val="single" w:sz="8" w:space="0" w:color="0079C1"/>
              <w:bottom w:val="single" w:sz="8" w:space="0" w:color="0079C1"/>
              <w:right w:val="single" w:sz="18" w:space="0" w:color="4F81BD" w:themeColor="accent1"/>
            </w:tcBorders>
            <w:shd w:val="clear" w:color="auto" w:fill="auto"/>
            <w:tcMar>
              <w:top w:w="12" w:type="dxa"/>
              <w:left w:w="12" w:type="dxa"/>
              <w:bottom w:w="0" w:type="dxa"/>
              <w:right w:w="12" w:type="dxa"/>
            </w:tcMar>
            <w:vAlign w:val="bottom"/>
            <w:hideMark/>
          </w:tcPr>
          <w:p w14:paraId="7B6B9E0F" w14:textId="77777777" w:rsidR="00915A5B" w:rsidRPr="001F682D" w:rsidRDefault="00915A5B" w:rsidP="006B7709">
            <w:pPr>
              <w:jc w:val="center"/>
              <w:rPr>
                <w:rFonts w:ascii="Arial" w:hAnsi="Arial" w:cs="Arial"/>
                <w:b/>
                <w:sz w:val="18"/>
              </w:rPr>
            </w:pPr>
            <w:r w:rsidRPr="001F682D">
              <w:rPr>
                <w:rFonts w:ascii="Arial" w:hAnsi="Arial" w:cs="Arial"/>
                <w:b/>
                <w:bCs/>
                <w:sz w:val="18"/>
              </w:rPr>
              <w:t>Butler</w:t>
            </w:r>
          </w:p>
        </w:tc>
        <w:tc>
          <w:tcPr>
            <w:tcW w:w="512" w:type="pct"/>
            <w:tcBorders>
              <w:top w:val="single" w:sz="8" w:space="0" w:color="0079C1"/>
              <w:left w:val="single" w:sz="18" w:space="0" w:color="4F81BD" w:themeColor="accent1"/>
              <w:bottom w:val="single" w:sz="8" w:space="0" w:color="0079C1"/>
              <w:right w:val="single" w:sz="4" w:space="0" w:color="4F81BD" w:themeColor="accent1"/>
            </w:tcBorders>
          </w:tcPr>
          <w:p w14:paraId="6A9B9B76" w14:textId="77777777" w:rsidR="00915A5B" w:rsidRPr="00A60B5A" w:rsidRDefault="00915A5B" w:rsidP="006B7709">
            <w:pPr>
              <w:jc w:val="center"/>
              <w:rPr>
                <w:rFonts w:ascii="Arial" w:hAnsi="Arial" w:cs="Arial"/>
                <w:bCs/>
                <w:sz w:val="18"/>
              </w:rPr>
            </w:pPr>
            <w:r>
              <w:rPr>
                <w:rFonts w:ascii="Arial" w:hAnsi="Arial" w:cs="Arial"/>
                <w:bCs/>
                <w:sz w:val="18"/>
              </w:rPr>
              <w:t>Hot-Humid</w:t>
            </w:r>
          </w:p>
        </w:tc>
        <w:tc>
          <w:tcPr>
            <w:tcW w:w="397" w:type="pct"/>
            <w:tcBorders>
              <w:top w:val="single" w:sz="8" w:space="0" w:color="0079C1"/>
              <w:left w:val="single" w:sz="4" w:space="0" w:color="4F81BD" w:themeColor="accent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6EA7DB00" w14:textId="77777777" w:rsidR="00915A5B" w:rsidRPr="00A60B5A" w:rsidRDefault="00915A5B" w:rsidP="006B7709">
            <w:pPr>
              <w:jc w:val="center"/>
              <w:rPr>
                <w:rFonts w:ascii="Arial" w:hAnsi="Arial" w:cs="Arial"/>
                <w:sz w:val="18"/>
              </w:rPr>
            </w:pPr>
            <w:r w:rsidRPr="00A60B5A">
              <w:rPr>
                <w:rFonts w:ascii="Arial" w:hAnsi="Arial" w:cs="Arial"/>
                <w:bCs/>
                <w:sz w:val="18"/>
              </w:rPr>
              <w:t>9931</w:t>
            </w:r>
          </w:p>
        </w:tc>
        <w:tc>
          <w:tcPr>
            <w:tcW w:w="451"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388986BC" w14:textId="77777777" w:rsidR="00915A5B" w:rsidRPr="00A60B5A" w:rsidRDefault="00915A5B" w:rsidP="006B7709">
            <w:pPr>
              <w:jc w:val="center"/>
              <w:rPr>
                <w:rFonts w:ascii="Arial" w:hAnsi="Arial" w:cs="Arial"/>
                <w:sz w:val="18"/>
              </w:rPr>
            </w:pPr>
          </w:p>
        </w:tc>
        <w:tc>
          <w:tcPr>
            <w:tcW w:w="452"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0F02BE54" w14:textId="77777777" w:rsidR="00915A5B" w:rsidRPr="00A60B5A" w:rsidRDefault="00915A5B" w:rsidP="006B7709">
            <w:pPr>
              <w:jc w:val="center"/>
              <w:rPr>
                <w:rFonts w:ascii="Arial" w:hAnsi="Arial" w:cs="Arial"/>
                <w:sz w:val="18"/>
              </w:rPr>
            </w:pPr>
            <w:r w:rsidRPr="00A60B5A">
              <w:rPr>
                <w:rFonts w:ascii="Arial" w:hAnsi="Arial" w:cs="Arial"/>
                <w:bCs/>
                <w:sz w:val="18"/>
              </w:rPr>
              <w:t>0.0046</w:t>
            </w:r>
          </w:p>
        </w:tc>
        <w:tc>
          <w:tcPr>
            <w:tcW w:w="354"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774C62CC"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vAlign w:val="bottom"/>
          </w:tcPr>
          <w:p w14:paraId="4877147C" w14:textId="77777777" w:rsidR="00915A5B" w:rsidRPr="00A60B5A" w:rsidRDefault="00915A5B" w:rsidP="006B7709">
            <w:pPr>
              <w:jc w:val="center"/>
              <w:rPr>
                <w:rFonts w:ascii="Arial" w:hAnsi="Arial" w:cs="Arial"/>
                <w:sz w:val="18"/>
              </w:rPr>
            </w:pPr>
            <w:r w:rsidRPr="00A60B5A">
              <w:rPr>
                <w:rFonts w:ascii="Arial" w:hAnsi="Arial" w:cs="Arial"/>
                <w:bCs/>
                <w:sz w:val="18"/>
              </w:rPr>
              <w:t>0.2</w:t>
            </w:r>
          </w:p>
        </w:tc>
        <w:tc>
          <w:tcPr>
            <w:tcW w:w="354" w:type="pct"/>
            <w:vMerge/>
            <w:tcBorders>
              <w:top w:val="single" w:sz="8" w:space="0" w:color="0079C1"/>
              <w:left w:val="single" w:sz="8" w:space="0" w:color="0079C1"/>
              <w:bottom w:val="single" w:sz="8" w:space="0" w:color="0079C1"/>
              <w:right w:val="single" w:sz="8" w:space="0" w:color="0079C1"/>
            </w:tcBorders>
            <w:shd w:val="clear" w:color="auto" w:fill="auto"/>
            <w:vAlign w:val="center"/>
            <w:hideMark/>
          </w:tcPr>
          <w:p w14:paraId="1B59B3F0"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5B58BE53" w14:textId="77777777" w:rsidR="00915A5B" w:rsidRPr="00A60B5A" w:rsidRDefault="00915A5B" w:rsidP="006B7709">
            <w:pPr>
              <w:jc w:val="center"/>
              <w:rPr>
                <w:rFonts w:ascii="Arial" w:hAnsi="Arial" w:cs="Arial"/>
                <w:sz w:val="18"/>
              </w:rPr>
            </w:pPr>
            <w:r w:rsidRPr="00A60B5A">
              <w:rPr>
                <w:rFonts w:ascii="Arial" w:hAnsi="Arial" w:cs="Arial"/>
                <w:bCs/>
                <w:sz w:val="18"/>
              </w:rPr>
              <w:t>0.12</w:t>
            </w:r>
          </w:p>
        </w:tc>
        <w:tc>
          <w:tcPr>
            <w:tcW w:w="55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768A6292" w14:textId="77777777" w:rsidR="00915A5B" w:rsidRPr="00A60B5A" w:rsidRDefault="00915A5B" w:rsidP="006B7709">
            <w:pPr>
              <w:jc w:val="center"/>
              <w:rPr>
                <w:rFonts w:ascii="Arial" w:hAnsi="Arial" w:cs="Arial"/>
                <w:sz w:val="18"/>
              </w:rPr>
            </w:pPr>
            <w:r w:rsidRPr="00A60B5A">
              <w:rPr>
                <w:rFonts w:ascii="Arial" w:hAnsi="Arial" w:cs="Arial"/>
                <w:bCs/>
                <w:sz w:val="18"/>
              </w:rPr>
              <w:t>0.32</w:t>
            </w:r>
          </w:p>
        </w:tc>
      </w:tr>
      <w:tr w:rsidR="00915A5B" w:rsidRPr="00A60B5A" w14:paraId="315E4EEB" w14:textId="77777777" w:rsidTr="006B7709">
        <w:trPr>
          <w:trHeight w:val="192"/>
        </w:trPr>
        <w:tc>
          <w:tcPr>
            <w:tcW w:w="563"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tcPr>
          <w:p w14:paraId="7E347656" w14:textId="77777777" w:rsidR="00915A5B" w:rsidRPr="001F682D" w:rsidRDefault="00915A5B" w:rsidP="006B7709">
            <w:pPr>
              <w:jc w:val="center"/>
              <w:rPr>
                <w:rFonts w:ascii="Arial" w:hAnsi="Arial" w:cs="Arial"/>
                <w:b/>
                <w:bCs/>
                <w:sz w:val="18"/>
              </w:rPr>
            </w:pPr>
            <w:r>
              <w:rPr>
                <w:rFonts w:ascii="Wingdings" w:hAnsi="Wingdings" w:cs="Arial"/>
                <w:b/>
                <w:bCs/>
                <w:sz w:val="18"/>
              </w:rPr>
              <w:t></w:t>
            </w:r>
            <w:r>
              <w:rPr>
                <w:rFonts w:ascii="Wingdings" w:hAnsi="Wingdings" w:cs="Arial"/>
                <w:b/>
                <w:bCs/>
                <w:sz w:val="18"/>
              </w:rPr>
              <w:t></w:t>
            </w:r>
            <w:r>
              <w:rPr>
                <w:rFonts w:ascii="Wingdings" w:hAnsi="Wingdings" w:cs="Arial"/>
                <w:b/>
                <w:bCs/>
                <w:sz w:val="18"/>
              </w:rPr>
              <w:t></w:t>
            </w:r>
          </w:p>
        </w:tc>
        <w:tc>
          <w:tcPr>
            <w:tcW w:w="555" w:type="pct"/>
            <w:tcBorders>
              <w:top w:val="single" w:sz="8" w:space="0" w:color="0079C1"/>
              <w:left w:val="single" w:sz="8" w:space="0" w:color="0079C1"/>
              <w:bottom w:val="single" w:sz="8" w:space="0" w:color="0079C1"/>
              <w:right w:val="single" w:sz="18" w:space="0" w:color="4F81BD" w:themeColor="accent1"/>
            </w:tcBorders>
            <w:shd w:val="clear" w:color="auto" w:fill="auto"/>
            <w:tcMar>
              <w:top w:w="12" w:type="dxa"/>
              <w:left w:w="12" w:type="dxa"/>
              <w:bottom w:w="0" w:type="dxa"/>
              <w:right w:w="12" w:type="dxa"/>
            </w:tcMar>
            <w:vAlign w:val="bottom"/>
          </w:tcPr>
          <w:p w14:paraId="3DACAD97" w14:textId="77777777" w:rsidR="00915A5B" w:rsidRPr="001F682D" w:rsidRDefault="00915A5B" w:rsidP="006B7709">
            <w:pPr>
              <w:jc w:val="center"/>
              <w:rPr>
                <w:rFonts w:ascii="Arial" w:hAnsi="Arial" w:cs="Arial"/>
                <w:b/>
                <w:bCs/>
                <w:sz w:val="18"/>
              </w:rPr>
            </w:pPr>
            <w:r>
              <w:rPr>
                <w:rFonts w:ascii="Wingdings" w:hAnsi="Wingdings" w:cs="Arial"/>
                <w:b/>
                <w:bCs/>
                <w:sz w:val="18"/>
              </w:rPr>
              <w:t></w:t>
            </w:r>
            <w:r>
              <w:rPr>
                <w:rFonts w:ascii="Wingdings" w:hAnsi="Wingdings" w:cs="Arial"/>
                <w:b/>
                <w:bCs/>
                <w:sz w:val="18"/>
              </w:rPr>
              <w:t></w:t>
            </w:r>
            <w:r>
              <w:rPr>
                <w:rFonts w:ascii="Wingdings" w:hAnsi="Wingdings" w:cs="Arial"/>
                <w:b/>
                <w:bCs/>
                <w:sz w:val="18"/>
              </w:rPr>
              <w:t></w:t>
            </w:r>
          </w:p>
        </w:tc>
        <w:tc>
          <w:tcPr>
            <w:tcW w:w="512" w:type="pct"/>
            <w:tcBorders>
              <w:top w:val="single" w:sz="8" w:space="0" w:color="0079C1"/>
              <w:left w:val="single" w:sz="18" w:space="0" w:color="4F81BD" w:themeColor="accent1"/>
              <w:bottom w:val="single" w:sz="8" w:space="0" w:color="0079C1"/>
              <w:right w:val="single" w:sz="4" w:space="0" w:color="4F81BD" w:themeColor="accent1"/>
            </w:tcBorders>
          </w:tcPr>
          <w:p w14:paraId="248C4682" w14:textId="77777777" w:rsidR="00915A5B" w:rsidRDefault="00915A5B" w:rsidP="006B7709">
            <w:pPr>
              <w:jc w:val="center"/>
              <w:rPr>
                <w:rFonts w:ascii="Arial" w:hAnsi="Arial" w:cs="Arial"/>
                <w:bCs/>
                <w:sz w:val="18"/>
              </w:rPr>
            </w:pPr>
            <w:r>
              <w:rPr>
                <w:rFonts w:ascii="Wingdings" w:hAnsi="Wingdings" w:cs="Arial"/>
                <w:b/>
                <w:bCs/>
                <w:sz w:val="18"/>
              </w:rPr>
              <w:t></w:t>
            </w:r>
            <w:r>
              <w:rPr>
                <w:rFonts w:ascii="Wingdings" w:hAnsi="Wingdings" w:cs="Arial"/>
                <w:b/>
                <w:bCs/>
                <w:sz w:val="18"/>
              </w:rPr>
              <w:t></w:t>
            </w:r>
            <w:r>
              <w:rPr>
                <w:rFonts w:ascii="Wingdings" w:hAnsi="Wingdings" w:cs="Arial"/>
                <w:b/>
                <w:bCs/>
                <w:sz w:val="18"/>
              </w:rPr>
              <w:t></w:t>
            </w:r>
          </w:p>
        </w:tc>
        <w:tc>
          <w:tcPr>
            <w:tcW w:w="397" w:type="pct"/>
            <w:tcBorders>
              <w:top w:val="single" w:sz="8" w:space="0" w:color="0079C1"/>
              <w:left w:val="single" w:sz="4" w:space="0" w:color="4F81BD" w:themeColor="accent1"/>
              <w:bottom w:val="single" w:sz="8" w:space="0" w:color="0079C1"/>
              <w:right w:val="single" w:sz="8" w:space="0" w:color="0079C1"/>
            </w:tcBorders>
            <w:shd w:val="clear" w:color="auto" w:fill="auto"/>
            <w:tcMar>
              <w:top w:w="12" w:type="dxa"/>
              <w:left w:w="12" w:type="dxa"/>
              <w:bottom w:w="0" w:type="dxa"/>
              <w:right w:w="12" w:type="dxa"/>
            </w:tcMar>
            <w:vAlign w:val="bottom"/>
          </w:tcPr>
          <w:p w14:paraId="3479BC19" w14:textId="77777777" w:rsidR="00915A5B" w:rsidRPr="00A60B5A" w:rsidRDefault="00915A5B" w:rsidP="006B7709">
            <w:pPr>
              <w:jc w:val="center"/>
              <w:rPr>
                <w:rFonts w:ascii="Arial" w:hAnsi="Arial" w:cs="Arial"/>
                <w:bCs/>
                <w:sz w:val="18"/>
              </w:rPr>
            </w:pPr>
            <w:r>
              <w:rPr>
                <w:rFonts w:ascii="Wingdings" w:hAnsi="Wingdings" w:cs="Arial"/>
                <w:b/>
                <w:bCs/>
                <w:sz w:val="18"/>
              </w:rPr>
              <w:t></w:t>
            </w:r>
            <w:r>
              <w:rPr>
                <w:rFonts w:ascii="Wingdings" w:hAnsi="Wingdings" w:cs="Arial"/>
                <w:b/>
                <w:bCs/>
                <w:sz w:val="18"/>
              </w:rPr>
              <w:t></w:t>
            </w:r>
            <w:r>
              <w:rPr>
                <w:rFonts w:ascii="Wingdings" w:hAnsi="Wingdings" w:cs="Arial"/>
                <w:b/>
                <w:bCs/>
                <w:sz w:val="18"/>
              </w:rPr>
              <w:t></w:t>
            </w:r>
          </w:p>
        </w:tc>
        <w:tc>
          <w:tcPr>
            <w:tcW w:w="451" w:type="pct"/>
            <w:tcBorders>
              <w:top w:val="single" w:sz="8" w:space="0" w:color="0079C1"/>
              <w:left w:val="single" w:sz="8" w:space="0" w:color="0079C1"/>
              <w:right w:val="single" w:sz="8" w:space="0" w:color="0079C1"/>
            </w:tcBorders>
            <w:shd w:val="clear" w:color="auto" w:fill="auto"/>
            <w:vAlign w:val="center"/>
          </w:tcPr>
          <w:p w14:paraId="3D31E0E0" w14:textId="77777777" w:rsidR="00915A5B" w:rsidRPr="00A60B5A" w:rsidRDefault="00915A5B" w:rsidP="006B7709">
            <w:pPr>
              <w:jc w:val="center"/>
              <w:rPr>
                <w:rFonts w:ascii="Arial" w:hAnsi="Arial" w:cs="Arial"/>
                <w:bCs/>
                <w:sz w:val="18"/>
              </w:rPr>
            </w:pPr>
            <w:r>
              <w:rPr>
                <w:rFonts w:ascii="Wingdings" w:hAnsi="Wingdings" w:cs="Arial"/>
                <w:b/>
                <w:bCs/>
                <w:sz w:val="18"/>
              </w:rPr>
              <w:t></w:t>
            </w:r>
            <w:r>
              <w:rPr>
                <w:rFonts w:ascii="Wingdings" w:hAnsi="Wingdings" w:cs="Arial"/>
                <w:b/>
                <w:bCs/>
                <w:sz w:val="18"/>
              </w:rPr>
              <w:t></w:t>
            </w:r>
            <w:r>
              <w:rPr>
                <w:rFonts w:ascii="Wingdings" w:hAnsi="Wingdings" w:cs="Arial"/>
                <w:b/>
                <w:bCs/>
                <w:sz w:val="18"/>
              </w:rPr>
              <w:t></w:t>
            </w:r>
          </w:p>
        </w:tc>
        <w:tc>
          <w:tcPr>
            <w:tcW w:w="452"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tcPr>
          <w:p w14:paraId="3D8CCA64" w14:textId="77777777" w:rsidR="00915A5B" w:rsidRPr="00A60B5A" w:rsidRDefault="00915A5B" w:rsidP="006B7709">
            <w:pPr>
              <w:jc w:val="center"/>
              <w:rPr>
                <w:rFonts w:ascii="Arial" w:hAnsi="Arial" w:cs="Arial"/>
                <w:bCs/>
                <w:sz w:val="18"/>
              </w:rPr>
            </w:pPr>
            <w:r>
              <w:rPr>
                <w:rFonts w:ascii="Wingdings" w:hAnsi="Wingdings" w:cs="Arial"/>
                <w:b/>
                <w:bCs/>
                <w:sz w:val="18"/>
              </w:rPr>
              <w:t></w:t>
            </w:r>
            <w:r>
              <w:rPr>
                <w:rFonts w:ascii="Wingdings" w:hAnsi="Wingdings" w:cs="Arial"/>
                <w:b/>
                <w:bCs/>
                <w:sz w:val="18"/>
              </w:rPr>
              <w:t></w:t>
            </w:r>
            <w:r>
              <w:rPr>
                <w:rFonts w:ascii="Wingdings" w:hAnsi="Wingdings" w:cs="Arial"/>
                <w:b/>
                <w:bCs/>
                <w:sz w:val="18"/>
              </w:rPr>
              <w:t></w:t>
            </w:r>
          </w:p>
        </w:tc>
        <w:tc>
          <w:tcPr>
            <w:tcW w:w="354" w:type="pct"/>
            <w:tcBorders>
              <w:top w:val="single" w:sz="8" w:space="0" w:color="0079C1"/>
              <w:left w:val="single" w:sz="8" w:space="0" w:color="0079C1"/>
              <w:right w:val="single" w:sz="8" w:space="0" w:color="0079C1"/>
            </w:tcBorders>
            <w:shd w:val="clear" w:color="auto" w:fill="auto"/>
            <w:vAlign w:val="center"/>
          </w:tcPr>
          <w:p w14:paraId="5D3D3013" w14:textId="77777777" w:rsidR="00915A5B" w:rsidRPr="00A60B5A" w:rsidRDefault="00915A5B" w:rsidP="006B7709">
            <w:pPr>
              <w:jc w:val="center"/>
              <w:rPr>
                <w:rFonts w:ascii="Arial" w:hAnsi="Arial" w:cs="Arial"/>
                <w:bCs/>
                <w:sz w:val="18"/>
              </w:rPr>
            </w:pPr>
            <w:r>
              <w:rPr>
                <w:rFonts w:ascii="Wingdings" w:hAnsi="Wingdings" w:cs="Arial"/>
                <w:b/>
                <w:bCs/>
                <w:sz w:val="18"/>
              </w:rPr>
              <w:t></w:t>
            </w:r>
            <w:r>
              <w:rPr>
                <w:rFonts w:ascii="Wingdings" w:hAnsi="Wingdings" w:cs="Arial"/>
                <w:b/>
                <w:bCs/>
                <w:sz w:val="18"/>
              </w:rPr>
              <w:t></w:t>
            </w:r>
            <w:r>
              <w:rPr>
                <w:rFonts w:ascii="Wingdings" w:hAnsi="Wingdings" w:cs="Arial"/>
                <w:b/>
                <w:bCs/>
                <w:sz w:val="18"/>
              </w:rPr>
              <w:t></w:t>
            </w:r>
          </w:p>
        </w:tc>
        <w:tc>
          <w:tcPr>
            <w:tcW w:w="404" w:type="pct"/>
            <w:tcBorders>
              <w:top w:val="single" w:sz="8" w:space="0" w:color="0079C1"/>
              <w:left w:val="single" w:sz="8" w:space="0" w:color="0079C1"/>
              <w:bottom w:val="single" w:sz="8" w:space="0" w:color="0079C1"/>
              <w:right w:val="single" w:sz="8" w:space="0" w:color="0079C1"/>
            </w:tcBorders>
            <w:vAlign w:val="bottom"/>
          </w:tcPr>
          <w:p w14:paraId="0F6A2943" w14:textId="77777777" w:rsidR="00915A5B" w:rsidRPr="00A60B5A" w:rsidRDefault="00915A5B" w:rsidP="006B7709">
            <w:pPr>
              <w:jc w:val="center"/>
              <w:rPr>
                <w:rFonts w:ascii="Arial" w:hAnsi="Arial" w:cs="Arial"/>
                <w:bCs/>
                <w:sz w:val="18"/>
              </w:rPr>
            </w:pPr>
            <w:r>
              <w:rPr>
                <w:rFonts w:ascii="Wingdings" w:hAnsi="Wingdings" w:cs="Arial"/>
                <w:b/>
                <w:bCs/>
                <w:sz w:val="18"/>
              </w:rPr>
              <w:t></w:t>
            </w:r>
            <w:r>
              <w:rPr>
                <w:rFonts w:ascii="Wingdings" w:hAnsi="Wingdings" w:cs="Arial"/>
                <w:b/>
                <w:bCs/>
                <w:sz w:val="18"/>
              </w:rPr>
              <w:t></w:t>
            </w:r>
            <w:r>
              <w:rPr>
                <w:rFonts w:ascii="Wingdings" w:hAnsi="Wingdings" w:cs="Arial"/>
                <w:b/>
                <w:bCs/>
                <w:sz w:val="18"/>
              </w:rPr>
              <w:t></w:t>
            </w:r>
          </w:p>
        </w:tc>
        <w:tc>
          <w:tcPr>
            <w:tcW w:w="354" w:type="pct"/>
            <w:tcBorders>
              <w:top w:val="single" w:sz="8" w:space="0" w:color="0079C1"/>
              <w:left w:val="single" w:sz="8" w:space="0" w:color="0079C1"/>
              <w:right w:val="single" w:sz="8" w:space="0" w:color="0079C1"/>
            </w:tcBorders>
            <w:shd w:val="clear" w:color="auto" w:fill="auto"/>
            <w:vAlign w:val="center"/>
          </w:tcPr>
          <w:p w14:paraId="76BDB971" w14:textId="77777777" w:rsidR="00915A5B" w:rsidRPr="00A60B5A" w:rsidRDefault="00915A5B" w:rsidP="006B7709">
            <w:pPr>
              <w:jc w:val="center"/>
              <w:rPr>
                <w:rFonts w:ascii="Arial" w:hAnsi="Arial" w:cs="Arial"/>
                <w:bCs/>
                <w:sz w:val="18"/>
              </w:rPr>
            </w:pPr>
            <w:r>
              <w:rPr>
                <w:rFonts w:ascii="Wingdings" w:hAnsi="Wingdings" w:cs="Arial"/>
                <w:b/>
                <w:bCs/>
                <w:sz w:val="18"/>
              </w:rPr>
              <w:t></w:t>
            </w:r>
            <w:r>
              <w:rPr>
                <w:rFonts w:ascii="Wingdings" w:hAnsi="Wingdings" w:cs="Arial"/>
                <w:b/>
                <w:bCs/>
                <w:sz w:val="18"/>
              </w:rPr>
              <w:t></w:t>
            </w:r>
            <w:r>
              <w:rPr>
                <w:rFonts w:ascii="Wingdings" w:hAnsi="Wingdings" w:cs="Arial"/>
                <w:b/>
                <w:bCs/>
                <w:sz w:val="18"/>
              </w:rPr>
              <w:t></w:t>
            </w:r>
          </w:p>
        </w:tc>
        <w:tc>
          <w:tcPr>
            <w:tcW w:w="40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tcPr>
          <w:p w14:paraId="6780168A" w14:textId="77777777" w:rsidR="00915A5B" w:rsidRPr="00A60B5A" w:rsidRDefault="00915A5B" w:rsidP="006B7709">
            <w:pPr>
              <w:jc w:val="center"/>
              <w:rPr>
                <w:rFonts w:ascii="Arial" w:hAnsi="Arial" w:cs="Arial"/>
                <w:bCs/>
                <w:sz w:val="18"/>
              </w:rPr>
            </w:pPr>
            <w:r>
              <w:rPr>
                <w:rFonts w:ascii="Wingdings" w:hAnsi="Wingdings" w:cs="Arial"/>
                <w:b/>
                <w:bCs/>
                <w:sz w:val="18"/>
              </w:rPr>
              <w:t></w:t>
            </w:r>
            <w:r>
              <w:rPr>
                <w:rFonts w:ascii="Wingdings" w:hAnsi="Wingdings" w:cs="Arial"/>
                <w:b/>
                <w:bCs/>
                <w:sz w:val="18"/>
              </w:rPr>
              <w:t></w:t>
            </w:r>
            <w:r>
              <w:rPr>
                <w:rFonts w:ascii="Wingdings" w:hAnsi="Wingdings" w:cs="Arial"/>
                <w:b/>
                <w:bCs/>
                <w:sz w:val="18"/>
              </w:rPr>
              <w:t></w:t>
            </w:r>
          </w:p>
        </w:tc>
        <w:tc>
          <w:tcPr>
            <w:tcW w:w="55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tcPr>
          <w:p w14:paraId="37ED9AF4" w14:textId="61340618" w:rsidR="00915A5B" w:rsidRPr="00A60B5A" w:rsidRDefault="00374990" w:rsidP="006B7709">
            <w:pPr>
              <w:jc w:val="center"/>
              <w:rPr>
                <w:rFonts w:ascii="Arial" w:hAnsi="Arial" w:cs="Arial"/>
                <w:bCs/>
                <w:sz w:val="18"/>
              </w:rPr>
            </w:pPr>
            <w:r>
              <w:rPr>
                <w:rFonts w:ascii="Wingdings" w:hAnsi="Wingdings" w:cs="Arial"/>
                <w:b/>
                <w:bCs/>
                <w:sz w:val="18"/>
              </w:rPr>
              <w:t></w:t>
            </w:r>
            <w:r>
              <w:rPr>
                <w:rFonts w:ascii="Wingdings" w:hAnsi="Wingdings" w:cs="Arial"/>
                <w:b/>
                <w:bCs/>
                <w:sz w:val="18"/>
              </w:rPr>
              <w:t></w:t>
            </w:r>
            <w:r>
              <w:rPr>
                <w:rFonts w:ascii="Wingdings" w:hAnsi="Wingdings" w:cs="Arial"/>
                <w:b/>
                <w:bCs/>
                <w:sz w:val="18"/>
              </w:rPr>
              <w:t></w:t>
            </w:r>
          </w:p>
        </w:tc>
      </w:tr>
      <w:tr w:rsidR="00915A5B" w:rsidRPr="00A60B5A" w14:paraId="1D594390" w14:textId="77777777" w:rsidTr="006B7709">
        <w:trPr>
          <w:trHeight w:val="192"/>
        </w:trPr>
        <w:tc>
          <w:tcPr>
            <w:tcW w:w="563"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0A0663C4" w14:textId="77777777" w:rsidR="00915A5B" w:rsidRPr="001F682D" w:rsidRDefault="00915A5B" w:rsidP="006B7709">
            <w:pPr>
              <w:jc w:val="center"/>
              <w:rPr>
                <w:rFonts w:ascii="Arial" w:hAnsi="Arial" w:cs="Arial"/>
                <w:b/>
                <w:sz w:val="18"/>
              </w:rPr>
            </w:pPr>
            <w:r>
              <w:rPr>
                <w:rFonts w:ascii="Arial" w:hAnsi="Arial" w:cs="Arial"/>
                <w:b/>
                <w:bCs/>
                <w:sz w:val="18"/>
              </w:rPr>
              <w:t>AL-KY-MI</w:t>
            </w:r>
          </w:p>
        </w:tc>
        <w:tc>
          <w:tcPr>
            <w:tcW w:w="555" w:type="pct"/>
            <w:tcBorders>
              <w:top w:val="single" w:sz="8" w:space="0" w:color="0079C1"/>
              <w:left w:val="single" w:sz="8" w:space="0" w:color="0079C1"/>
              <w:bottom w:val="single" w:sz="8" w:space="0" w:color="0079C1"/>
              <w:right w:val="single" w:sz="18" w:space="0" w:color="4F81BD" w:themeColor="accent1"/>
            </w:tcBorders>
            <w:shd w:val="clear" w:color="auto" w:fill="auto"/>
            <w:tcMar>
              <w:top w:w="12" w:type="dxa"/>
              <w:left w:w="12" w:type="dxa"/>
              <w:bottom w:w="0" w:type="dxa"/>
              <w:right w:w="12" w:type="dxa"/>
            </w:tcMar>
            <w:vAlign w:val="bottom"/>
            <w:hideMark/>
          </w:tcPr>
          <w:p w14:paraId="322E1A3D" w14:textId="77777777" w:rsidR="00915A5B" w:rsidRPr="001F682D" w:rsidRDefault="00915A5B" w:rsidP="006B7709">
            <w:pPr>
              <w:jc w:val="center"/>
              <w:rPr>
                <w:rFonts w:ascii="Arial" w:hAnsi="Arial" w:cs="Arial"/>
                <w:b/>
                <w:sz w:val="18"/>
              </w:rPr>
            </w:pPr>
            <w:r w:rsidRPr="001F682D">
              <w:rPr>
                <w:rFonts w:ascii="Arial" w:hAnsi="Arial" w:cs="Arial"/>
                <w:b/>
                <w:bCs/>
                <w:sz w:val="18"/>
              </w:rPr>
              <w:t>Bibb</w:t>
            </w:r>
          </w:p>
        </w:tc>
        <w:tc>
          <w:tcPr>
            <w:tcW w:w="512" w:type="pct"/>
            <w:tcBorders>
              <w:top w:val="single" w:sz="8" w:space="0" w:color="0079C1"/>
              <w:left w:val="single" w:sz="18" w:space="0" w:color="4F81BD" w:themeColor="accent1"/>
              <w:bottom w:val="single" w:sz="8" w:space="0" w:color="0079C1"/>
              <w:right w:val="single" w:sz="4" w:space="0" w:color="4F81BD" w:themeColor="accent1"/>
            </w:tcBorders>
          </w:tcPr>
          <w:p w14:paraId="2DB16D4E" w14:textId="77777777" w:rsidR="00915A5B" w:rsidRPr="00A60B5A" w:rsidRDefault="00915A5B" w:rsidP="006B7709">
            <w:pPr>
              <w:jc w:val="center"/>
              <w:rPr>
                <w:rFonts w:ascii="Arial" w:hAnsi="Arial" w:cs="Arial"/>
                <w:bCs/>
                <w:sz w:val="18"/>
              </w:rPr>
            </w:pPr>
            <w:r>
              <w:rPr>
                <w:rFonts w:ascii="Arial" w:hAnsi="Arial" w:cs="Arial"/>
                <w:bCs/>
                <w:sz w:val="18"/>
              </w:rPr>
              <w:t>Mixed-Humid</w:t>
            </w:r>
          </w:p>
        </w:tc>
        <w:tc>
          <w:tcPr>
            <w:tcW w:w="397" w:type="pct"/>
            <w:tcBorders>
              <w:top w:val="single" w:sz="8" w:space="0" w:color="0079C1"/>
              <w:left w:val="single" w:sz="4" w:space="0" w:color="4F81BD" w:themeColor="accent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0ABB0655" w14:textId="77777777" w:rsidR="00915A5B" w:rsidRPr="00A60B5A" w:rsidRDefault="00915A5B" w:rsidP="006B7709">
            <w:pPr>
              <w:jc w:val="center"/>
              <w:rPr>
                <w:rFonts w:ascii="Arial" w:hAnsi="Arial" w:cs="Arial"/>
                <w:sz w:val="18"/>
              </w:rPr>
            </w:pPr>
            <w:r w:rsidRPr="00A60B5A">
              <w:rPr>
                <w:rFonts w:ascii="Arial" w:hAnsi="Arial" w:cs="Arial"/>
                <w:bCs/>
                <w:sz w:val="18"/>
              </w:rPr>
              <w:t>8939</w:t>
            </w:r>
          </w:p>
        </w:tc>
        <w:tc>
          <w:tcPr>
            <w:tcW w:w="451" w:type="pct"/>
            <w:vMerge w:val="restart"/>
            <w:tcBorders>
              <w:top w:val="single" w:sz="4" w:space="0" w:color="4F81BD" w:themeColor="accent1"/>
              <w:left w:val="single" w:sz="8" w:space="0" w:color="0079C1"/>
              <w:right w:val="single" w:sz="8" w:space="0" w:color="0079C1"/>
            </w:tcBorders>
            <w:shd w:val="clear" w:color="auto" w:fill="auto"/>
            <w:vAlign w:val="center"/>
            <w:hideMark/>
          </w:tcPr>
          <w:p w14:paraId="43EE98CF" w14:textId="77777777" w:rsidR="00915A5B" w:rsidRPr="00A60B5A" w:rsidRDefault="00915A5B" w:rsidP="006B7709">
            <w:pPr>
              <w:jc w:val="center"/>
              <w:rPr>
                <w:rFonts w:ascii="Arial" w:hAnsi="Arial" w:cs="Arial"/>
                <w:sz w:val="18"/>
              </w:rPr>
            </w:pPr>
            <w:r w:rsidRPr="00E05C07">
              <w:rPr>
                <w:rFonts w:ascii="Arial" w:hAnsi="Arial" w:cs="Arial"/>
                <w:bCs/>
                <w:sz w:val="18"/>
              </w:rPr>
              <w:t>4183503</w:t>
            </w:r>
          </w:p>
        </w:tc>
        <w:tc>
          <w:tcPr>
            <w:tcW w:w="452"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3369244D" w14:textId="77777777" w:rsidR="00915A5B" w:rsidRPr="00A60B5A" w:rsidRDefault="00915A5B" w:rsidP="006B7709">
            <w:pPr>
              <w:jc w:val="center"/>
              <w:rPr>
                <w:rFonts w:ascii="Arial" w:hAnsi="Arial" w:cs="Arial"/>
                <w:sz w:val="18"/>
              </w:rPr>
            </w:pPr>
            <w:r w:rsidRPr="00A60B5A">
              <w:rPr>
                <w:rFonts w:ascii="Arial" w:hAnsi="Arial" w:cs="Arial"/>
                <w:bCs/>
                <w:sz w:val="18"/>
              </w:rPr>
              <w:t>0.0041</w:t>
            </w:r>
          </w:p>
        </w:tc>
        <w:tc>
          <w:tcPr>
            <w:tcW w:w="354" w:type="pct"/>
            <w:vMerge w:val="restart"/>
            <w:tcBorders>
              <w:top w:val="single" w:sz="8" w:space="0" w:color="0079C1"/>
              <w:left w:val="single" w:sz="8" w:space="0" w:color="0079C1"/>
              <w:right w:val="single" w:sz="8" w:space="0" w:color="0079C1"/>
            </w:tcBorders>
            <w:shd w:val="clear" w:color="auto" w:fill="auto"/>
            <w:vAlign w:val="center"/>
            <w:hideMark/>
          </w:tcPr>
          <w:p w14:paraId="63A2756A" w14:textId="77777777" w:rsidR="00915A5B" w:rsidRPr="00A60B5A" w:rsidRDefault="00915A5B" w:rsidP="006B7709">
            <w:pPr>
              <w:jc w:val="center"/>
              <w:rPr>
                <w:rFonts w:ascii="Arial" w:hAnsi="Arial" w:cs="Arial"/>
                <w:sz w:val="18"/>
              </w:rPr>
            </w:pPr>
            <w:r>
              <w:rPr>
                <w:rFonts w:ascii="Arial" w:hAnsi="Arial" w:cs="Arial"/>
                <w:bCs/>
                <w:sz w:val="18"/>
              </w:rPr>
              <w:t>94.5</w:t>
            </w:r>
          </w:p>
        </w:tc>
        <w:tc>
          <w:tcPr>
            <w:tcW w:w="404" w:type="pct"/>
            <w:tcBorders>
              <w:top w:val="single" w:sz="8" w:space="0" w:color="0079C1"/>
              <w:left w:val="single" w:sz="8" w:space="0" w:color="0079C1"/>
              <w:bottom w:val="single" w:sz="8" w:space="0" w:color="0079C1"/>
              <w:right w:val="single" w:sz="8" w:space="0" w:color="0079C1"/>
            </w:tcBorders>
            <w:vAlign w:val="bottom"/>
          </w:tcPr>
          <w:p w14:paraId="6A7F3C5F" w14:textId="77777777" w:rsidR="00915A5B" w:rsidRPr="00A60B5A" w:rsidRDefault="00915A5B" w:rsidP="006B7709">
            <w:pPr>
              <w:jc w:val="center"/>
              <w:rPr>
                <w:rFonts w:ascii="Arial" w:hAnsi="Arial" w:cs="Arial"/>
                <w:sz w:val="18"/>
              </w:rPr>
            </w:pPr>
            <w:r w:rsidRPr="00A60B5A">
              <w:rPr>
                <w:rFonts w:ascii="Arial" w:hAnsi="Arial" w:cs="Arial"/>
                <w:bCs/>
                <w:sz w:val="18"/>
              </w:rPr>
              <w:t>0.18</w:t>
            </w:r>
          </w:p>
        </w:tc>
        <w:tc>
          <w:tcPr>
            <w:tcW w:w="354" w:type="pct"/>
            <w:vMerge w:val="restart"/>
            <w:tcBorders>
              <w:top w:val="single" w:sz="8" w:space="0" w:color="0079C1"/>
              <w:left w:val="single" w:sz="8" w:space="0" w:color="0079C1"/>
              <w:right w:val="single" w:sz="8" w:space="0" w:color="0079C1"/>
            </w:tcBorders>
            <w:shd w:val="clear" w:color="auto" w:fill="auto"/>
            <w:vAlign w:val="center"/>
            <w:hideMark/>
          </w:tcPr>
          <w:p w14:paraId="2E3BF2B0" w14:textId="77777777" w:rsidR="00915A5B" w:rsidRPr="00A60B5A" w:rsidRDefault="00915A5B" w:rsidP="006B7709">
            <w:pPr>
              <w:jc w:val="center"/>
              <w:rPr>
                <w:rFonts w:ascii="Arial" w:hAnsi="Arial" w:cs="Arial"/>
                <w:sz w:val="18"/>
              </w:rPr>
            </w:pPr>
            <w:r>
              <w:rPr>
                <w:rFonts w:ascii="Arial" w:hAnsi="Arial" w:cs="Arial"/>
                <w:bCs/>
                <w:sz w:val="18"/>
              </w:rPr>
              <w:t>49.3</w:t>
            </w:r>
          </w:p>
        </w:tc>
        <w:tc>
          <w:tcPr>
            <w:tcW w:w="40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4CDA0C2C" w14:textId="77777777" w:rsidR="00915A5B" w:rsidRPr="00A60B5A" w:rsidRDefault="00915A5B" w:rsidP="006B7709">
            <w:pPr>
              <w:jc w:val="center"/>
              <w:rPr>
                <w:rFonts w:ascii="Arial" w:hAnsi="Arial" w:cs="Arial"/>
                <w:sz w:val="18"/>
              </w:rPr>
            </w:pPr>
            <w:r w:rsidRPr="00A60B5A">
              <w:rPr>
                <w:rFonts w:ascii="Arial" w:hAnsi="Arial" w:cs="Arial"/>
                <w:bCs/>
                <w:sz w:val="18"/>
              </w:rPr>
              <w:t>0.1</w:t>
            </w:r>
          </w:p>
        </w:tc>
        <w:tc>
          <w:tcPr>
            <w:tcW w:w="55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6411E3B3" w14:textId="77777777" w:rsidR="00915A5B" w:rsidRPr="00A60B5A" w:rsidRDefault="00915A5B" w:rsidP="006B7709">
            <w:pPr>
              <w:jc w:val="center"/>
              <w:rPr>
                <w:rFonts w:ascii="Arial" w:hAnsi="Arial" w:cs="Arial"/>
                <w:sz w:val="18"/>
              </w:rPr>
            </w:pPr>
            <w:r w:rsidRPr="00A60B5A">
              <w:rPr>
                <w:rFonts w:ascii="Arial" w:hAnsi="Arial" w:cs="Arial"/>
                <w:bCs/>
                <w:sz w:val="18"/>
              </w:rPr>
              <w:t>0.28</w:t>
            </w:r>
          </w:p>
        </w:tc>
      </w:tr>
      <w:tr w:rsidR="00915A5B" w:rsidRPr="00A60B5A" w14:paraId="4E2E3A28" w14:textId="77777777" w:rsidTr="006B7709">
        <w:trPr>
          <w:trHeight w:val="192"/>
        </w:trPr>
        <w:tc>
          <w:tcPr>
            <w:tcW w:w="563"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0481B69F" w14:textId="77777777" w:rsidR="00915A5B" w:rsidRPr="001F682D" w:rsidRDefault="00915A5B" w:rsidP="006B7709">
            <w:pPr>
              <w:jc w:val="center"/>
              <w:rPr>
                <w:rFonts w:ascii="Arial" w:hAnsi="Arial" w:cs="Arial"/>
                <w:b/>
                <w:sz w:val="18"/>
              </w:rPr>
            </w:pPr>
            <w:r>
              <w:rPr>
                <w:rFonts w:ascii="Arial" w:hAnsi="Arial" w:cs="Arial"/>
                <w:b/>
                <w:bCs/>
                <w:sz w:val="18"/>
              </w:rPr>
              <w:t>AL-KY-MI</w:t>
            </w:r>
          </w:p>
        </w:tc>
        <w:tc>
          <w:tcPr>
            <w:tcW w:w="555" w:type="pct"/>
            <w:tcBorders>
              <w:top w:val="single" w:sz="8" w:space="0" w:color="0079C1"/>
              <w:left w:val="single" w:sz="8" w:space="0" w:color="0079C1"/>
              <w:bottom w:val="single" w:sz="8" w:space="0" w:color="0079C1"/>
              <w:right w:val="single" w:sz="18" w:space="0" w:color="4F81BD" w:themeColor="accent1"/>
            </w:tcBorders>
            <w:shd w:val="clear" w:color="auto" w:fill="auto"/>
            <w:tcMar>
              <w:top w:w="12" w:type="dxa"/>
              <w:left w:w="12" w:type="dxa"/>
              <w:bottom w:w="0" w:type="dxa"/>
              <w:right w:w="12" w:type="dxa"/>
            </w:tcMar>
            <w:vAlign w:val="bottom"/>
            <w:hideMark/>
          </w:tcPr>
          <w:p w14:paraId="7F4793ED" w14:textId="77777777" w:rsidR="00915A5B" w:rsidRPr="001F682D" w:rsidRDefault="00915A5B" w:rsidP="006B7709">
            <w:pPr>
              <w:jc w:val="center"/>
              <w:rPr>
                <w:rFonts w:ascii="Arial" w:hAnsi="Arial" w:cs="Arial"/>
                <w:b/>
                <w:sz w:val="18"/>
              </w:rPr>
            </w:pPr>
            <w:r w:rsidRPr="001F682D">
              <w:rPr>
                <w:rFonts w:ascii="Arial" w:hAnsi="Arial" w:cs="Arial"/>
                <w:b/>
                <w:bCs/>
                <w:sz w:val="18"/>
              </w:rPr>
              <w:t>Blount</w:t>
            </w:r>
          </w:p>
        </w:tc>
        <w:tc>
          <w:tcPr>
            <w:tcW w:w="512" w:type="pct"/>
            <w:tcBorders>
              <w:top w:val="single" w:sz="8" w:space="0" w:color="0079C1"/>
              <w:left w:val="single" w:sz="18" w:space="0" w:color="4F81BD" w:themeColor="accent1"/>
              <w:bottom w:val="single" w:sz="8" w:space="0" w:color="0079C1"/>
              <w:right w:val="single" w:sz="4" w:space="0" w:color="4F81BD" w:themeColor="accent1"/>
            </w:tcBorders>
            <w:vAlign w:val="center"/>
          </w:tcPr>
          <w:p w14:paraId="7802E4B4" w14:textId="77777777" w:rsidR="00915A5B" w:rsidRPr="00A60B5A" w:rsidRDefault="00915A5B" w:rsidP="006B7709">
            <w:pPr>
              <w:jc w:val="center"/>
              <w:rPr>
                <w:rFonts w:ascii="Arial" w:hAnsi="Arial" w:cs="Arial"/>
                <w:bCs/>
                <w:sz w:val="18"/>
              </w:rPr>
            </w:pPr>
            <w:r>
              <w:rPr>
                <w:rFonts w:ascii="Arial" w:hAnsi="Arial" w:cs="Arial"/>
                <w:bCs/>
                <w:sz w:val="18"/>
              </w:rPr>
              <w:t>Mixed-Humid</w:t>
            </w:r>
          </w:p>
        </w:tc>
        <w:tc>
          <w:tcPr>
            <w:tcW w:w="397" w:type="pct"/>
            <w:tcBorders>
              <w:top w:val="single" w:sz="8" w:space="0" w:color="0079C1"/>
              <w:left w:val="single" w:sz="4" w:space="0" w:color="4F81BD" w:themeColor="accent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220CC61A" w14:textId="77777777" w:rsidR="00915A5B" w:rsidRPr="00A60B5A" w:rsidRDefault="00915A5B" w:rsidP="006B7709">
            <w:pPr>
              <w:jc w:val="center"/>
              <w:rPr>
                <w:rFonts w:ascii="Arial" w:hAnsi="Arial" w:cs="Arial"/>
                <w:sz w:val="18"/>
              </w:rPr>
            </w:pPr>
            <w:r w:rsidRPr="00A60B5A">
              <w:rPr>
                <w:rFonts w:ascii="Arial" w:hAnsi="Arial" w:cs="Arial"/>
                <w:bCs/>
                <w:sz w:val="18"/>
              </w:rPr>
              <w:t>23767</w:t>
            </w:r>
          </w:p>
        </w:tc>
        <w:tc>
          <w:tcPr>
            <w:tcW w:w="451" w:type="pct"/>
            <w:vMerge/>
            <w:tcBorders>
              <w:left w:val="single" w:sz="8" w:space="0" w:color="0079C1"/>
              <w:right w:val="single" w:sz="8" w:space="0" w:color="0079C1"/>
            </w:tcBorders>
            <w:shd w:val="clear" w:color="auto" w:fill="auto"/>
            <w:vAlign w:val="center"/>
            <w:hideMark/>
          </w:tcPr>
          <w:p w14:paraId="5F189EE6" w14:textId="77777777" w:rsidR="00915A5B" w:rsidRPr="00A60B5A" w:rsidRDefault="00915A5B" w:rsidP="006B7709">
            <w:pPr>
              <w:jc w:val="center"/>
              <w:rPr>
                <w:rFonts w:ascii="Arial" w:hAnsi="Arial" w:cs="Arial"/>
                <w:sz w:val="18"/>
              </w:rPr>
            </w:pPr>
          </w:p>
        </w:tc>
        <w:tc>
          <w:tcPr>
            <w:tcW w:w="452"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4E94B405" w14:textId="77777777" w:rsidR="00915A5B" w:rsidRPr="00A60B5A" w:rsidRDefault="00915A5B" w:rsidP="006B7709">
            <w:pPr>
              <w:jc w:val="center"/>
              <w:rPr>
                <w:rFonts w:ascii="Arial" w:hAnsi="Arial" w:cs="Arial"/>
                <w:sz w:val="18"/>
              </w:rPr>
            </w:pPr>
            <w:r w:rsidRPr="00A60B5A">
              <w:rPr>
                <w:rFonts w:ascii="Arial" w:hAnsi="Arial" w:cs="Arial"/>
                <w:bCs/>
                <w:sz w:val="18"/>
              </w:rPr>
              <w:t>0.0109</w:t>
            </w:r>
          </w:p>
        </w:tc>
        <w:tc>
          <w:tcPr>
            <w:tcW w:w="354" w:type="pct"/>
            <w:vMerge/>
            <w:tcBorders>
              <w:left w:val="single" w:sz="8" w:space="0" w:color="0079C1"/>
              <w:right w:val="single" w:sz="8" w:space="0" w:color="0079C1"/>
            </w:tcBorders>
            <w:shd w:val="clear" w:color="auto" w:fill="auto"/>
            <w:vAlign w:val="center"/>
            <w:hideMark/>
          </w:tcPr>
          <w:p w14:paraId="39CB152F"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vAlign w:val="bottom"/>
          </w:tcPr>
          <w:p w14:paraId="3EF87F18" w14:textId="77777777" w:rsidR="00915A5B" w:rsidRPr="00A60B5A" w:rsidRDefault="00915A5B" w:rsidP="006B7709">
            <w:pPr>
              <w:jc w:val="center"/>
              <w:rPr>
                <w:rFonts w:ascii="Arial" w:hAnsi="Arial" w:cs="Arial"/>
                <w:sz w:val="18"/>
              </w:rPr>
            </w:pPr>
            <w:r w:rsidRPr="00A60B5A">
              <w:rPr>
                <w:rFonts w:ascii="Arial" w:hAnsi="Arial" w:cs="Arial"/>
                <w:bCs/>
                <w:sz w:val="18"/>
              </w:rPr>
              <w:t>0.48</w:t>
            </w:r>
          </w:p>
        </w:tc>
        <w:tc>
          <w:tcPr>
            <w:tcW w:w="354" w:type="pct"/>
            <w:vMerge/>
            <w:tcBorders>
              <w:left w:val="single" w:sz="8" w:space="0" w:color="0079C1"/>
              <w:right w:val="single" w:sz="8" w:space="0" w:color="0079C1"/>
            </w:tcBorders>
            <w:shd w:val="clear" w:color="auto" w:fill="auto"/>
            <w:vAlign w:val="center"/>
            <w:hideMark/>
          </w:tcPr>
          <w:p w14:paraId="5E309F72"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0A61CF8E" w14:textId="77777777" w:rsidR="00915A5B" w:rsidRPr="00A60B5A" w:rsidRDefault="00915A5B" w:rsidP="006B7709">
            <w:pPr>
              <w:jc w:val="center"/>
              <w:rPr>
                <w:rFonts w:ascii="Arial" w:hAnsi="Arial" w:cs="Arial"/>
                <w:sz w:val="18"/>
              </w:rPr>
            </w:pPr>
            <w:r w:rsidRPr="00A60B5A">
              <w:rPr>
                <w:rFonts w:ascii="Arial" w:hAnsi="Arial" w:cs="Arial"/>
                <w:bCs/>
                <w:sz w:val="18"/>
              </w:rPr>
              <w:t>0.28</w:t>
            </w:r>
          </w:p>
        </w:tc>
        <w:tc>
          <w:tcPr>
            <w:tcW w:w="55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656426B7" w14:textId="77777777" w:rsidR="00915A5B" w:rsidRPr="00A60B5A" w:rsidRDefault="00915A5B" w:rsidP="006B7709">
            <w:pPr>
              <w:jc w:val="center"/>
              <w:rPr>
                <w:rFonts w:ascii="Arial" w:hAnsi="Arial" w:cs="Arial"/>
                <w:sz w:val="18"/>
              </w:rPr>
            </w:pPr>
            <w:r w:rsidRPr="00A60B5A">
              <w:rPr>
                <w:rFonts w:ascii="Arial" w:hAnsi="Arial" w:cs="Arial"/>
                <w:bCs/>
                <w:sz w:val="18"/>
              </w:rPr>
              <w:t>0.76</w:t>
            </w:r>
          </w:p>
        </w:tc>
      </w:tr>
      <w:tr w:rsidR="00915A5B" w:rsidRPr="00A60B5A" w14:paraId="0E47EE84" w14:textId="77777777" w:rsidTr="004D3128">
        <w:trPr>
          <w:trHeight w:val="192"/>
        </w:trPr>
        <w:tc>
          <w:tcPr>
            <w:tcW w:w="563" w:type="pct"/>
            <w:tcBorders>
              <w:top w:val="single" w:sz="8" w:space="0" w:color="0079C1"/>
              <w:left w:val="single" w:sz="8" w:space="0" w:color="0079C1"/>
              <w:bottom w:val="single" w:sz="4" w:space="0" w:color="auto"/>
              <w:right w:val="single" w:sz="8" w:space="0" w:color="0079C1"/>
            </w:tcBorders>
            <w:shd w:val="clear" w:color="auto" w:fill="auto"/>
            <w:tcMar>
              <w:top w:w="12" w:type="dxa"/>
              <w:left w:w="12" w:type="dxa"/>
              <w:bottom w:w="0" w:type="dxa"/>
              <w:right w:w="12" w:type="dxa"/>
            </w:tcMar>
            <w:vAlign w:val="bottom"/>
            <w:hideMark/>
          </w:tcPr>
          <w:p w14:paraId="5E79FE26" w14:textId="77777777" w:rsidR="00915A5B" w:rsidRPr="001F682D" w:rsidRDefault="00915A5B" w:rsidP="006B7709">
            <w:pPr>
              <w:jc w:val="center"/>
              <w:rPr>
                <w:rFonts w:ascii="Arial" w:hAnsi="Arial" w:cs="Arial"/>
                <w:b/>
                <w:sz w:val="18"/>
              </w:rPr>
            </w:pPr>
            <w:r>
              <w:rPr>
                <w:rFonts w:ascii="Arial" w:hAnsi="Arial" w:cs="Arial"/>
                <w:b/>
                <w:bCs/>
                <w:sz w:val="18"/>
              </w:rPr>
              <w:t>AL-KY-MI</w:t>
            </w:r>
          </w:p>
        </w:tc>
        <w:tc>
          <w:tcPr>
            <w:tcW w:w="555" w:type="pct"/>
            <w:tcBorders>
              <w:top w:val="single" w:sz="8" w:space="0" w:color="0079C1"/>
              <w:left w:val="single" w:sz="8" w:space="0" w:color="0079C1"/>
              <w:bottom w:val="single" w:sz="4" w:space="0" w:color="auto"/>
              <w:right w:val="single" w:sz="18" w:space="0" w:color="4F81BD" w:themeColor="accent1"/>
            </w:tcBorders>
            <w:shd w:val="clear" w:color="auto" w:fill="auto"/>
            <w:tcMar>
              <w:top w:w="12" w:type="dxa"/>
              <w:left w:w="12" w:type="dxa"/>
              <w:bottom w:w="0" w:type="dxa"/>
              <w:right w:w="12" w:type="dxa"/>
            </w:tcMar>
            <w:vAlign w:val="bottom"/>
            <w:hideMark/>
          </w:tcPr>
          <w:p w14:paraId="0917EE0C" w14:textId="77777777" w:rsidR="00915A5B" w:rsidRPr="001F682D" w:rsidRDefault="00915A5B" w:rsidP="006B7709">
            <w:pPr>
              <w:jc w:val="center"/>
              <w:rPr>
                <w:rFonts w:ascii="Arial" w:hAnsi="Arial" w:cs="Arial"/>
                <w:b/>
                <w:sz w:val="18"/>
              </w:rPr>
            </w:pPr>
            <w:r w:rsidRPr="001F682D">
              <w:rPr>
                <w:rFonts w:ascii="Arial" w:hAnsi="Arial" w:cs="Arial"/>
                <w:b/>
                <w:bCs/>
                <w:sz w:val="18"/>
              </w:rPr>
              <w:t>Calhoun</w:t>
            </w:r>
          </w:p>
        </w:tc>
        <w:tc>
          <w:tcPr>
            <w:tcW w:w="512" w:type="pct"/>
            <w:tcBorders>
              <w:top w:val="single" w:sz="8" w:space="0" w:color="0079C1"/>
              <w:left w:val="single" w:sz="18" w:space="0" w:color="4F81BD" w:themeColor="accent1"/>
              <w:bottom w:val="single" w:sz="4" w:space="0" w:color="auto"/>
              <w:right w:val="single" w:sz="4" w:space="0" w:color="4F81BD" w:themeColor="accent1"/>
            </w:tcBorders>
          </w:tcPr>
          <w:p w14:paraId="7613E799" w14:textId="77777777" w:rsidR="00915A5B" w:rsidRPr="00A60B5A" w:rsidRDefault="00915A5B" w:rsidP="006B7709">
            <w:pPr>
              <w:jc w:val="center"/>
              <w:rPr>
                <w:rFonts w:ascii="Arial" w:hAnsi="Arial" w:cs="Arial"/>
                <w:bCs/>
                <w:sz w:val="18"/>
              </w:rPr>
            </w:pPr>
            <w:r>
              <w:rPr>
                <w:rFonts w:ascii="Arial" w:hAnsi="Arial" w:cs="Arial"/>
                <w:bCs/>
                <w:sz w:val="18"/>
              </w:rPr>
              <w:t>Mixed-Humid</w:t>
            </w:r>
          </w:p>
        </w:tc>
        <w:tc>
          <w:tcPr>
            <w:tcW w:w="397" w:type="pct"/>
            <w:tcBorders>
              <w:top w:val="single" w:sz="8" w:space="0" w:color="0079C1"/>
              <w:left w:val="single" w:sz="4" w:space="0" w:color="4F81BD" w:themeColor="accent1"/>
              <w:bottom w:val="single" w:sz="4" w:space="0" w:color="auto"/>
              <w:right w:val="single" w:sz="8" w:space="0" w:color="0079C1"/>
            </w:tcBorders>
            <w:shd w:val="clear" w:color="auto" w:fill="auto"/>
            <w:tcMar>
              <w:top w:w="12" w:type="dxa"/>
              <w:left w:w="12" w:type="dxa"/>
              <w:bottom w:w="0" w:type="dxa"/>
              <w:right w:w="12" w:type="dxa"/>
            </w:tcMar>
            <w:vAlign w:val="bottom"/>
            <w:hideMark/>
          </w:tcPr>
          <w:p w14:paraId="74A8BCFC" w14:textId="77777777" w:rsidR="00915A5B" w:rsidRPr="00A60B5A" w:rsidRDefault="00915A5B" w:rsidP="006B7709">
            <w:pPr>
              <w:jc w:val="center"/>
              <w:rPr>
                <w:rFonts w:ascii="Arial" w:hAnsi="Arial" w:cs="Arial"/>
                <w:sz w:val="18"/>
              </w:rPr>
            </w:pPr>
            <w:r w:rsidRPr="00A60B5A">
              <w:rPr>
                <w:rFonts w:ascii="Arial" w:hAnsi="Arial" w:cs="Arial"/>
                <w:bCs/>
                <w:sz w:val="18"/>
              </w:rPr>
              <w:t>53192</w:t>
            </w:r>
          </w:p>
        </w:tc>
        <w:tc>
          <w:tcPr>
            <w:tcW w:w="451" w:type="pct"/>
            <w:vMerge/>
            <w:tcBorders>
              <w:left w:val="single" w:sz="8" w:space="0" w:color="0079C1"/>
              <w:bottom w:val="single" w:sz="4" w:space="0" w:color="auto"/>
              <w:right w:val="single" w:sz="8" w:space="0" w:color="0079C1"/>
            </w:tcBorders>
            <w:shd w:val="clear" w:color="auto" w:fill="auto"/>
            <w:vAlign w:val="center"/>
            <w:hideMark/>
          </w:tcPr>
          <w:p w14:paraId="0866F8AD" w14:textId="77777777" w:rsidR="00915A5B" w:rsidRPr="00A60B5A" w:rsidRDefault="00915A5B" w:rsidP="006B7709">
            <w:pPr>
              <w:jc w:val="center"/>
              <w:rPr>
                <w:rFonts w:ascii="Arial" w:hAnsi="Arial" w:cs="Arial"/>
                <w:sz w:val="18"/>
              </w:rPr>
            </w:pPr>
          </w:p>
        </w:tc>
        <w:tc>
          <w:tcPr>
            <w:tcW w:w="452" w:type="pct"/>
            <w:tcBorders>
              <w:top w:val="single" w:sz="8" w:space="0" w:color="0079C1"/>
              <w:left w:val="single" w:sz="8" w:space="0" w:color="0079C1"/>
              <w:bottom w:val="single" w:sz="4" w:space="0" w:color="auto"/>
              <w:right w:val="single" w:sz="8" w:space="0" w:color="0079C1"/>
            </w:tcBorders>
            <w:shd w:val="clear" w:color="auto" w:fill="auto"/>
            <w:tcMar>
              <w:top w:w="12" w:type="dxa"/>
              <w:left w:w="12" w:type="dxa"/>
              <w:bottom w:w="0" w:type="dxa"/>
              <w:right w:w="12" w:type="dxa"/>
            </w:tcMar>
            <w:vAlign w:val="bottom"/>
            <w:hideMark/>
          </w:tcPr>
          <w:p w14:paraId="715EB254" w14:textId="77777777" w:rsidR="00915A5B" w:rsidRPr="00A60B5A" w:rsidRDefault="00915A5B" w:rsidP="006B7709">
            <w:pPr>
              <w:jc w:val="center"/>
              <w:rPr>
                <w:rFonts w:ascii="Arial" w:hAnsi="Arial" w:cs="Arial"/>
                <w:sz w:val="18"/>
              </w:rPr>
            </w:pPr>
            <w:r w:rsidRPr="00A60B5A">
              <w:rPr>
                <w:rFonts w:ascii="Arial" w:hAnsi="Arial" w:cs="Arial"/>
                <w:bCs/>
                <w:sz w:val="18"/>
              </w:rPr>
              <w:t>0.0244</w:t>
            </w:r>
          </w:p>
        </w:tc>
        <w:tc>
          <w:tcPr>
            <w:tcW w:w="354" w:type="pct"/>
            <w:vMerge/>
            <w:tcBorders>
              <w:left w:val="single" w:sz="8" w:space="0" w:color="0079C1"/>
              <w:bottom w:val="single" w:sz="4" w:space="0" w:color="auto"/>
              <w:right w:val="single" w:sz="8" w:space="0" w:color="0079C1"/>
            </w:tcBorders>
            <w:shd w:val="clear" w:color="auto" w:fill="auto"/>
            <w:vAlign w:val="center"/>
            <w:hideMark/>
          </w:tcPr>
          <w:p w14:paraId="58EC242B"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4" w:space="0" w:color="auto"/>
              <w:right w:val="single" w:sz="8" w:space="0" w:color="0079C1"/>
            </w:tcBorders>
            <w:vAlign w:val="bottom"/>
          </w:tcPr>
          <w:p w14:paraId="763475F0" w14:textId="77777777" w:rsidR="00915A5B" w:rsidRPr="00A60B5A" w:rsidRDefault="00915A5B" w:rsidP="006B7709">
            <w:pPr>
              <w:jc w:val="center"/>
              <w:rPr>
                <w:rFonts w:ascii="Arial" w:hAnsi="Arial" w:cs="Arial"/>
                <w:sz w:val="18"/>
              </w:rPr>
            </w:pPr>
            <w:r w:rsidRPr="00A60B5A">
              <w:rPr>
                <w:rFonts w:ascii="Arial" w:hAnsi="Arial" w:cs="Arial"/>
                <w:bCs/>
                <w:sz w:val="18"/>
              </w:rPr>
              <w:t>1.08</w:t>
            </w:r>
          </w:p>
        </w:tc>
        <w:tc>
          <w:tcPr>
            <w:tcW w:w="354" w:type="pct"/>
            <w:vMerge/>
            <w:tcBorders>
              <w:left w:val="single" w:sz="8" w:space="0" w:color="0079C1"/>
              <w:bottom w:val="single" w:sz="4" w:space="0" w:color="auto"/>
              <w:right w:val="single" w:sz="8" w:space="0" w:color="0079C1"/>
            </w:tcBorders>
            <w:shd w:val="clear" w:color="auto" w:fill="auto"/>
            <w:vAlign w:val="center"/>
            <w:hideMark/>
          </w:tcPr>
          <w:p w14:paraId="559D5CBE"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4" w:space="0" w:color="auto"/>
              <w:right w:val="single" w:sz="8" w:space="0" w:color="0079C1"/>
            </w:tcBorders>
            <w:shd w:val="clear" w:color="auto" w:fill="auto"/>
            <w:tcMar>
              <w:top w:w="12" w:type="dxa"/>
              <w:left w:w="12" w:type="dxa"/>
              <w:bottom w:w="0" w:type="dxa"/>
              <w:right w:w="12" w:type="dxa"/>
            </w:tcMar>
            <w:vAlign w:val="bottom"/>
            <w:hideMark/>
          </w:tcPr>
          <w:p w14:paraId="10FBB5E0" w14:textId="77777777" w:rsidR="00915A5B" w:rsidRPr="00A60B5A" w:rsidRDefault="00915A5B" w:rsidP="006B7709">
            <w:pPr>
              <w:jc w:val="center"/>
              <w:rPr>
                <w:rFonts w:ascii="Arial" w:hAnsi="Arial" w:cs="Arial"/>
                <w:sz w:val="18"/>
              </w:rPr>
            </w:pPr>
            <w:r w:rsidRPr="00A60B5A">
              <w:rPr>
                <w:rFonts w:ascii="Arial" w:hAnsi="Arial" w:cs="Arial"/>
                <w:bCs/>
                <w:sz w:val="18"/>
              </w:rPr>
              <w:t>0.62</w:t>
            </w:r>
          </w:p>
        </w:tc>
        <w:tc>
          <w:tcPr>
            <w:tcW w:w="554" w:type="pct"/>
            <w:tcBorders>
              <w:top w:val="single" w:sz="8" w:space="0" w:color="0079C1"/>
              <w:left w:val="single" w:sz="8" w:space="0" w:color="0079C1"/>
              <w:bottom w:val="single" w:sz="4" w:space="0" w:color="auto"/>
              <w:right w:val="single" w:sz="8" w:space="0" w:color="0079C1"/>
            </w:tcBorders>
            <w:shd w:val="clear" w:color="auto" w:fill="auto"/>
            <w:tcMar>
              <w:top w:w="12" w:type="dxa"/>
              <w:left w:w="12" w:type="dxa"/>
              <w:bottom w:w="0" w:type="dxa"/>
              <w:right w:w="12" w:type="dxa"/>
            </w:tcMar>
            <w:vAlign w:val="bottom"/>
            <w:hideMark/>
          </w:tcPr>
          <w:p w14:paraId="237D057A" w14:textId="77777777" w:rsidR="00915A5B" w:rsidRPr="00A60B5A" w:rsidRDefault="00915A5B" w:rsidP="006B7709">
            <w:pPr>
              <w:jc w:val="center"/>
              <w:rPr>
                <w:rFonts w:ascii="Arial" w:hAnsi="Arial" w:cs="Arial"/>
                <w:sz w:val="18"/>
              </w:rPr>
            </w:pPr>
            <w:r w:rsidRPr="00A60B5A">
              <w:rPr>
                <w:rFonts w:ascii="Arial" w:hAnsi="Arial" w:cs="Arial"/>
                <w:bCs/>
                <w:sz w:val="18"/>
              </w:rPr>
              <w:t>1.7</w:t>
            </w:r>
          </w:p>
        </w:tc>
      </w:tr>
      <w:tr w:rsidR="00915A5B" w:rsidRPr="00A60B5A" w14:paraId="79A062B8" w14:textId="77777777" w:rsidTr="004D3128">
        <w:trPr>
          <w:trHeight w:val="192"/>
        </w:trPr>
        <w:tc>
          <w:tcPr>
            <w:tcW w:w="563" w:type="pct"/>
            <w:tcBorders>
              <w:top w:val="single" w:sz="4" w:space="0" w:color="auto"/>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78960595" w14:textId="77777777" w:rsidR="00915A5B" w:rsidRPr="001F682D" w:rsidRDefault="00915A5B" w:rsidP="006B7709">
            <w:pPr>
              <w:jc w:val="center"/>
              <w:rPr>
                <w:rFonts w:ascii="Arial" w:hAnsi="Arial" w:cs="Arial"/>
                <w:b/>
                <w:sz w:val="18"/>
              </w:rPr>
            </w:pPr>
            <w:r>
              <w:rPr>
                <w:rFonts w:ascii="Arial" w:hAnsi="Arial" w:cs="Arial"/>
                <w:b/>
                <w:bCs/>
                <w:sz w:val="18"/>
              </w:rPr>
              <w:lastRenderedPageBreak/>
              <w:t>AL-KY-MI</w:t>
            </w:r>
          </w:p>
        </w:tc>
        <w:tc>
          <w:tcPr>
            <w:tcW w:w="555" w:type="pct"/>
            <w:tcBorders>
              <w:top w:val="single" w:sz="4" w:space="0" w:color="auto"/>
              <w:left w:val="single" w:sz="8" w:space="0" w:color="0079C1"/>
              <w:bottom w:val="single" w:sz="8" w:space="0" w:color="0079C1"/>
              <w:right w:val="single" w:sz="18" w:space="0" w:color="4F81BD" w:themeColor="accent1"/>
            </w:tcBorders>
            <w:shd w:val="clear" w:color="auto" w:fill="auto"/>
            <w:tcMar>
              <w:top w:w="12" w:type="dxa"/>
              <w:left w:w="12" w:type="dxa"/>
              <w:bottom w:w="0" w:type="dxa"/>
              <w:right w:w="12" w:type="dxa"/>
            </w:tcMar>
            <w:vAlign w:val="bottom"/>
            <w:hideMark/>
          </w:tcPr>
          <w:p w14:paraId="2E6117D8" w14:textId="77777777" w:rsidR="00915A5B" w:rsidRPr="001F682D" w:rsidRDefault="00915A5B" w:rsidP="006B7709">
            <w:pPr>
              <w:jc w:val="center"/>
              <w:rPr>
                <w:rFonts w:ascii="Arial" w:hAnsi="Arial" w:cs="Arial"/>
                <w:b/>
                <w:sz w:val="18"/>
              </w:rPr>
            </w:pPr>
            <w:r w:rsidRPr="001F682D">
              <w:rPr>
                <w:rFonts w:ascii="Arial" w:hAnsi="Arial" w:cs="Arial"/>
                <w:b/>
                <w:bCs/>
                <w:sz w:val="18"/>
              </w:rPr>
              <w:t>Chambers</w:t>
            </w:r>
          </w:p>
        </w:tc>
        <w:tc>
          <w:tcPr>
            <w:tcW w:w="512" w:type="pct"/>
            <w:tcBorders>
              <w:top w:val="single" w:sz="4" w:space="0" w:color="auto"/>
              <w:left w:val="single" w:sz="18" w:space="0" w:color="4F81BD" w:themeColor="accent1"/>
              <w:bottom w:val="single" w:sz="8" w:space="0" w:color="0079C1"/>
              <w:right w:val="single" w:sz="4" w:space="0" w:color="4F81BD" w:themeColor="accent1"/>
            </w:tcBorders>
          </w:tcPr>
          <w:p w14:paraId="5DDC96E7" w14:textId="77777777" w:rsidR="00915A5B" w:rsidRPr="00A60B5A" w:rsidRDefault="00915A5B" w:rsidP="006B7709">
            <w:pPr>
              <w:jc w:val="center"/>
              <w:rPr>
                <w:rFonts w:ascii="Arial" w:hAnsi="Arial" w:cs="Arial"/>
                <w:bCs/>
                <w:sz w:val="18"/>
              </w:rPr>
            </w:pPr>
            <w:r>
              <w:rPr>
                <w:rFonts w:ascii="Arial" w:hAnsi="Arial" w:cs="Arial"/>
                <w:bCs/>
                <w:sz w:val="18"/>
              </w:rPr>
              <w:t>Mixed-Humid</w:t>
            </w:r>
          </w:p>
        </w:tc>
        <w:tc>
          <w:tcPr>
            <w:tcW w:w="397" w:type="pct"/>
            <w:tcBorders>
              <w:top w:val="single" w:sz="4" w:space="0" w:color="auto"/>
              <w:left w:val="single" w:sz="4" w:space="0" w:color="4F81BD" w:themeColor="accent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72960929" w14:textId="77777777" w:rsidR="00915A5B" w:rsidRPr="00A60B5A" w:rsidRDefault="00915A5B" w:rsidP="006B7709">
            <w:pPr>
              <w:jc w:val="center"/>
              <w:rPr>
                <w:rFonts w:ascii="Arial" w:hAnsi="Arial" w:cs="Arial"/>
                <w:sz w:val="18"/>
              </w:rPr>
            </w:pPr>
            <w:r w:rsidRPr="00A60B5A">
              <w:rPr>
                <w:rFonts w:ascii="Arial" w:hAnsi="Arial" w:cs="Arial"/>
                <w:bCs/>
                <w:sz w:val="18"/>
              </w:rPr>
              <w:t>16928</w:t>
            </w:r>
          </w:p>
        </w:tc>
        <w:tc>
          <w:tcPr>
            <w:tcW w:w="451" w:type="pct"/>
            <w:vMerge/>
            <w:tcBorders>
              <w:top w:val="single" w:sz="4" w:space="0" w:color="auto"/>
              <w:left w:val="single" w:sz="8" w:space="0" w:color="0079C1"/>
              <w:right w:val="single" w:sz="8" w:space="0" w:color="0079C1"/>
            </w:tcBorders>
            <w:shd w:val="clear" w:color="auto" w:fill="auto"/>
            <w:vAlign w:val="center"/>
            <w:hideMark/>
          </w:tcPr>
          <w:p w14:paraId="00EA63A8" w14:textId="77777777" w:rsidR="00915A5B" w:rsidRPr="00A60B5A" w:rsidRDefault="00915A5B" w:rsidP="006B7709">
            <w:pPr>
              <w:jc w:val="center"/>
              <w:rPr>
                <w:rFonts w:ascii="Arial" w:hAnsi="Arial" w:cs="Arial"/>
                <w:sz w:val="18"/>
              </w:rPr>
            </w:pPr>
          </w:p>
        </w:tc>
        <w:tc>
          <w:tcPr>
            <w:tcW w:w="452" w:type="pct"/>
            <w:tcBorders>
              <w:top w:val="single" w:sz="4" w:space="0" w:color="auto"/>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3AFDDDF4" w14:textId="77777777" w:rsidR="00915A5B" w:rsidRPr="00A60B5A" w:rsidRDefault="00915A5B" w:rsidP="006B7709">
            <w:pPr>
              <w:jc w:val="center"/>
              <w:rPr>
                <w:rFonts w:ascii="Arial" w:hAnsi="Arial" w:cs="Arial"/>
                <w:sz w:val="18"/>
              </w:rPr>
            </w:pPr>
            <w:r w:rsidRPr="00A60B5A">
              <w:rPr>
                <w:rFonts w:ascii="Arial" w:hAnsi="Arial" w:cs="Arial"/>
                <w:bCs/>
                <w:sz w:val="18"/>
              </w:rPr>
              <w:t>0.0078</w:t>
            </w:r>
          </w:p>
        </w:tc>
        <w:tc>
          <w:tcPr>
            <w:tcW w:w="354" w:type="pct"/>
            <w:vMerge/>
            <w:tcBorders>
              <w:top w:val="single" w:sz="4" w:space="0" w:color="auto"/>
              <w:left w:val="single" w:sz="8" w:space="0" w:color="0079C1"/>
              <w:right w:val="single" w:sz="8" w:space="0" w:color="0079C1"/>
            </w:tcBorders>
            <w:shd w:val="clear" w:color="auto" w:fill="auto"/>
            <w:vAlign w:val="center"/>
            <w:hideMark/>
          </w:tcPr>
          <w:p w14:paraId="38389CC7" w14:textId="77777777" w:rsidR="00915A5B" w:rsidRPr="00A60B5A" w:rsidRDefault="00915A5B" w:rsidP="006B7709">
            <w:pPr>
              <w:jc w:val="center"/>
              <w:rPr>
                <w:rFonts w:ascii="Arial" w:hAnsi="Arial" w:cs="Arial"/>
                <w:sz w:val="18"/>
              </w:rPr>
            </w:pPr>
          </w:p>
        </w:tc>
        <w:tc>
          <w:tcPr>
            <w:tcW w:w="404" w:type="pct"/>
            <w:tcBorders>
              <w:top w:val="single" w:sz="4" w:space="0" w:color="auto"/>
              <w:left w:val="single" w:sz="8" w:space="0" w:color="0079C1"/>
              <w:bottom w:val="single" w:sz="8" w:space="0" w:color="0079C1"/>
              <w:right w:val="single" w:sz="8" w:space="0" w:color="0079C1"/>
            </w:tcBorders>
            <w:vAlign w:val="bottom"/>
          </w:tcPr>
          <w:p w14:paraId="6EE35A01" w14:textId="77777777" w:rsidR="00915A5B" w:rsidRPr="00A60B5A" w:rsidRDefault="00915A5B" w:rsidP="006B7709">
            <w:pPr>
              <w:jc w:val="center"/>
              <w:rPr>
                <w:rFonts w:ascii="Arial" w:hAnsi="Arial" w:cs="Arial"/>
                <w:sz w:val="18"/>
              </w:rPr>
            </w:pPr>
            <w:r w:rsidRPr="00A60B5A">
              <w:rPr>
                <w:rFonts w:ascii="Arial" w:hAnsi="Arial" w:cs="Arial"/>
                <w:bCs/>
                <w:sz w:val="18"/>
              </w:rPr>
              <w:t>0.34</w:t>
            </w:r>
          </w:p>
        </w:tc>
        <w:tc>
          <w:tcPr>
            <w:tcW w:w="354" w:type="pct"/>
            <w:vMerge/>
            <w:tcBorders>
              <w:top w:val="single" w:sz="4" w:space="0" w:color="auto"/>
              <w:left w:val="single" w:sz="8" w:space="0" w:color="0079C1"/>
              <w:right w:val="single" w:sz="8" w:space="0" w:color="0079C1"/>
            </w:tcBorders>
            <w:shd w:val="clear" w:color="auto" w:fill="auto"/>
            <w:vAlign w:val="center"/>
            <w:hideMark/>
          </w:tcPr>
          <w:p w14:paraId="2300BECB" w14:textId="77777777" w:rsidR="00915A5B" w:rsidRPr="00A60B5A" w:rsidRDefault="00915A5B" w:rsidP="006B7709">
            <w:pPr>
              <w:jc w:val="center"/>
              <w:rPr>
                <w:rFonts w:ascii="Arial" w:hAnsi="Arial" w:cs="Arial"/>
                <w:sz w:val="18"/>
              </w:rPr>
            </w:pPr>
          </w:p>
        </w:tc>
        <w:tc>
          <w:tcPr>
            <w:tcW w:w="404" w:type="pct"/>
            <w:tcBorders>
              <w:top w:val="single" w:sz="4" w:space="0" w:color="auto"/>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6EA430E8" w14:textId="77777777" w:rsidR="00915A5B" w:rsidRPr="00A60B5A" w:rsidRDefault="00915A5B" w:rsidP="006B7709">
            <w:pPr>
              <w:jc w:val="center"/>
              <w:rPr>
                <w:rFonts w:ascii="Arial" w:hAnsi="Arial" w:cs="Arial"/>
                <w:sz w:val="18"/>
              </w:rPr>
            </w:pPr>
            <w:r w:rsidRPr="00A60B5A">
              <w:rPr>
                <w:rFonts w:ascii="Arial" w:hAnsi="Arial" w:cs="Arial"/>
                <w:bCs/>
                <w:sz w:val="18"/>
              </w:rPr>
              <w:t>0.2</w:t>
            </w:r>
          </w:p>
        </w:tc>
        <w:tc>
          <w:tcPr>
            <w:tcW w:w="554" w:type="pct"/>
            <w:tcBorders>
              <w:top w:val="single" w:sz="4" w:space="0" w:color="auto"/>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2BF53935" w14:textId="77777777" w:rsidR="00915A5B" w:rsidRPr="00A60B5A" w:rsidRDefault="00915A5B" w:rsidP="006B7709">
            <w:pPr>
              <w:jc w:val="center"/>
              <w:rPr>
                <w:rFonts w:ascii="Arial" w:hAnsi="Arial" w:cs="Arial"/>
                <w:sz w:val="18"/>
              </w:rPr>
            </w:pPr>
            <w:r w:rsidRPr="00A60B5A">
              <w:rPr>
                <w:rFonts w:ascii="Arial" w:hAnsi="Arial" w:cs="Arial"/>
                <w:bCs/>
                <w:sz w:val="18"/>
              </w:rPr>
              <w:t>0.54</w:t>
            </w:r>
          </w:p>
        </w:tc>
      </w:tr>
      <w:tr w:rsidR="00915A5B" w:rsidRPr="00A60B5A" w14:paraId="04A39CC2" w14:textId="77777777" w:rsidTr="006B7709">
        <w:trPr>
          <w:trHeight w:val="192"/>
        </w:trPr>
        <w:tc>
          <w:tcPr>
            <w:tcW w:w="563"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18F81D17" w14:textId="77777777" w:rsidR="00915A5B" w:rsidRPr="001F682D" w:rsidRDefault="00915A5B" w:rsidP="006B7709">
            <w:pPr>
              <w:jc w:val="center"/>
              <w:rPr>
                <w:rFonts w:ascii="Arial" w:hAnsi="Arial" w:cs="Arial"/>
                <w:b/>
                <w:sz w:val="18"/>
              </w:rPr>
            </w:pPr>
            <w:r>
              <w:rPr>
                <w:rFonts w:ascii="Arial" w:hAnsi="Arial" w:cs="Arial"/>
                <w:b/>
                <w:bCs/>
                <w:sz w:val="18"/>
              </w:rPr>
              <w:t>AL-KY-MI</w:t>
            </w:r>
          </w:p>
        </w:tc>
        <w:tc>
          <w:tcPr>
            <w:tcW w:w="555" w:type="pct"/>
            <w:tcBorders>
              <w:top w:val="single" w:sz="8" w:space="0" w:color="0079C1"/>
              <w:left w:val="single" w:sz="8" w:space="0" w:color="0079C1"/>
              <w:bottom w:val="single" w:sz="8" w:space="0" w:color="0079C1"/>
              <w:right w:val="single" w:sz="18" w:space="0" w:color="4F81BD" w:themeColor="accent1"/>
            </w:tcBorders>
            <w:shd w:val="clear" w:color="auto" w:fill="auto"/>
            <w:tcMar>
              <w:top w:w="12" w:type="dxa"/>
              <w:left w:w="12" w:type="dxa"/>
              <w:bottom w:w="0" w:type="dxa"/>
              <w:right w:w="12" w:type="dxa"/>
            </w:tcMar>
            <w:vAlign w:val="bottom"/>
            <w:hideMark/>
          </w:tcPr>
          <w:p w14:paraId="0180B2BB" w14:textId="77777777" w:rsidR="00915A5B" w:rsidRPr="001F682D" w:rsidRDefault="00915A5B" w:rsidP="006B7709">
            <w:pPr>
              <w:jc w:val="center"/>
              <w:rPr>
                <w:rFonts w:ascii="Arial" w:hAnsi="Arial" w:cs="Arial"/>
                <w:b/>
                <w:sz w:val="18"/>
              </w:rPr>
            </w:pPr>
            <w:r w:rsidRPr="001F682D">
              <w:rPr>
                <w:rFonts w:ascii="Arial" w:hAnsi="Arial" w:cs="Arial"/>
                <w:b/>
                <w:bCs/>
                <w:sz w:val="18"/>
              </w:rPr>
              <w:t>Cherokee</w:t>
            </w:r>
          </w:p>
        </w:tc>
        <w:tc>
          <w:tcPr>
            <w:tcW w:w="512" w:type="pct"/>
            <w:tcBorders>
              <w:top w:val="single" w:sz="8" w:space="0" w:color="0079C1"/>
              <w:left w:val="single" w:sz="18" w:space="0" w:color="4F81BD" w:themeColor="accent1"/>
              <w:bottom w:val="single" w:sz="8" w:space="0" w:color="0079C1"/>
              <w:right w:val="single" w:sz="4" w:space="0" w:color="4F81BD" w:themeColor="accent1"/>
            </w:tcBorders>
          </w:tcPr>
          <w:p w14:paraId="41556C53" w14:textId="77777777" w:rsidR="00915A5B" w:rsidRPr="00A60B5A" w:rsidRDefault="00915A5B" w:rsidP="006B7709">
            <w:pPr>
              <w:jc w:val="center"/>
              <w:rPr>
                <w:rFonts w:ascii="Arial" w:hAnsi="Arial" w:cs="Arial"/>
                <w:bCs/>
                <w:sz w:val="18"/>
              </w:rPr>
            </w:pPr>
            <w:r>
              <w:rPr>
                <w:rFonts w:ascii="Arial" w:hAnsi="Arial" w:cs="Arial"/>
                <w:bCs/>
                <w:sz w:val="18"/>
              </w:rPr>
              <w:t>Mixed-Humid</w:t>
            </w:r>
          </w:p>
        </w:tc>
        <w:tc>
          <w:tcPr>
            <w:tcW w:w="397" w:type="pct"/>
            <w:tcBorders>
              <w:top w:val="single" w:sz="8" w:space="0" w:color="0079C1"/>
              <w:left w:val="single" w:sz="4" w:space="0" w:color="4F81BD" w:themeColor="accent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0529956F" w14:textId="77777777" w:rsidR="00915A5B" w:rsidRPr="00A60B5A" w:rsidRDefault="00915A5B" w:rsidP="006B7709">
            <w:pPr>
              <w:jc w:val="center"/>
              <w:rPr>
                <w:rFonts w:ascii="Arial" w:hAnsi="Arial" w:cs="Arial"/>
                <w:sz w:val="18"/>
              </w:rPr>
            </w:pPr>
            <w:r w:rsidRPr="00A60B5A">
              <w:rPr>
                <w:rFonts w:ascii="Arial" w:hAnsi="Arial" w:cs="Arial"/>
                <w:bCs/>
                <w:sz w:val="18"/>
              </w:rPr>
              <w:t>16180</w:t>
            </w:r>
          </w:p>
        </w:tc>
        <w:tc>
          <w:tcPr>
            <w:tcW w:w="451" w:type="pct"/>
            <w:vMerge/>
            <w:tcBorders>
              <w:left w:val="single" w:sz="8" w:space="0" w:color="0079C1"/>
              <w:bottom w:val="single" w:sz="8" w:space="0" w:color="0079C1"/>
              <w:right w:val="single" w:sz="8" w:space="0" w:color="0079C1"/>
            </w:tcBorders>
            <w:shd w:val="clear" w:color="auto" w:fill="auto"/>
            <w:vAlign w:val="center"/>
            <w:hideMark/>
          </w:tcPr>
          <w:p w14:paraId="275663C5" w14:textId="77777777" w:rsidR="00915A5B" w:rsidRPr="00A60B5A" w:rsidRDefault="00915A5B" w:rsidP="006B7709">
            <w:pPr>
              <w:jc w:val="center"/>
              <w:rPr>
                <w:rFonts w:ascii="Arial" w:hAnsi="Arial" w:cs="Arial"/>
                <w:sz w:val="18"/>
              </w:rPr>
            </w:pPr>
          </w:p>
        </w:tc>
        <w:tc>
          <w:tcPr>
            <w:tcW w:w="452"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383E48FE" w14:textId="77777777" w:rsidR="00915A5B" w:rsidRPr="00A60B5A" w:rsidRDefault="00915A5B" w:rsidP="006B7709">
            <w:pPr>
              <w:jc w:val="center"/>
              <w:rPr>
                <w:rFonts w:ascii="Arial" w:hAnsi="Arial" w:cs="Arial"/>
                <w:sz w:val="18"/>
              </w:rPr>
            </w:pPr>
            <w:r w:rsidRPr="00A60B5A">
              <w:rPr>
                <w:rFonts w:ascii="Arial" w:hAnsi="Arial" w:cs="Arial"/>
                <w:bCs/>
                <w:sz w:val="18"/>
              </w:rPr>
              <w:t>0.0074</w:t>
            </w:r>
          </w:p>
        </w:tc>
        <w:tc>
          <w:tcPr>
            <w:tcW w:w="354" w:type="pct"/>
            <w:vMerge/>
            <w:tcBorders>
              <w:left w:val="single" w:sz="8" w:space="0" w:color="0079C1"/>
              <w:bottom w:val="single" w:sz="8" w:space="0" w:color="0079C1"/>
              <w:right w:val="single" w:sz="8" w:space="0" w:color="0079C1"/>
            </w:tcBorders>
            <w:shd w:val="clear" w:color="auto" w:fill="auto"/>
            <w:vAlign w:val="center"/>
            <w:hideMark/>
          </w:tcPr>
          <w:p w14:paraId="48831C9A"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vAlign w:val="bottom"/>
          </w:tcPr>
          <w:p w14:paraId="68ED2219" w14:textId="77777777" w:rsidR="00915A5B" w:rsidRPr="00A60B5A" w:rsidRDefault="00915A5B" w:rsidP="006B7709">
            <w:pPr>
              <w:jc w:val="center"/>
              <w:rPr>
                <w:rFonts w:ascii="Arial" w:hAnsi="Arial" w:cs="Arial"/>
                <w:sz w:val="18"/>
              </w:rPr>
            </w:pPr>
            <w:r w:rsidRPr="00A60B5A">
              <w:rPr>
                <w:rFonts w:ascii="Arial" w:hAnsi="Arial" w:cs="Arial"/>
                <w:bCs/>
                <w:sz w:val="18"/>
              </w:rPr>
              <w:t>0.33</w:t>
            </w:r>
          </w:p>
        </w:tc>
        <w:tc>
          <w:tcPr>
            <w:tcW w:w="354" w:type="pct"/>
            <w:vMerge/>
            <w:tcBorders>
              <w:left w:val="single" w:sz="8" w:space="0" w:color="0079C1"/>
              <w:bottom w:val="single" w:sz="8" w:space="0" w:color="0079C1"/>
              <w:right w:val="single" w:sz="8" w:space="0" w:color="0079C1"/>
            </w:tcBorders>
            <w:shd w:val="clear" w:color="auto" w:fill="auto"/>
            <w:vAlign w:val="center"/>
            <w:hideMark/>
          </w:tcPr>
          <w:p w14:paraId="6C421755" w14:textId="77777777" w:rsidR="00915A5B" w:rsidRPr="00A60B5A" w:rsidRDefault="00915A5B" w:rsidP="006B7709">
            <w:pPr>
              <w:jc w:val="center"/>
              <w:rPr>
                <w:rFonts w:ascii="Arial" w:hAnsi="Arial" w:cs="Arial"/>
                <w:sz w:val="18"/>
              </w:rPr>
            </w:pPr>
          </w:p>
        </w:tc>
        <w:tc>
          <w:tcPr>
            <w:tcW w:w="40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3E861A8E" w14:textId="77777777" w:rsidR="00915A5B" w:rsidRPr="00A60B5A" w:rsidRDefault="00915A5B" w:rsidP="006B7709">
            <w:pPr>
              <w:jc w:val="center"/>
              <w:rPr>
                <w:rFonts w:ascii="Arial" w:hAnsi="Arial" w:cs="Arial"/>
                <w:sz w:val="18"/>
              </w:rPr>
            </w:pPr>
            <w:r w:rsidRPr="00A60B5A">
              <w:rPr>
                <w:rFonts w:ascii="Arial" w:hAnsi="Arial" w:cs="Arial"/>
                <w:bCs/>
                <w:sz w:val="18"/>
              </w:rPr>
              <w:t>0.19</w:t>
            </w:r>
          </w:p>
        </w:tc>
        <w:tc>
          <w:tcPr>
            <w:tcW w:w="55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bottom"/>
            <w:hideMark/>
          </w:tcPr>
          <w:p w14:paraId="39B58B09" w14:textId="77777777" w:rsidR="00915A5B" w:rsidRPr="00A60B5A" w:rsidRDefault="00915A5B" w:rsidP="006B7709">
            <w:pPr>
              <w:jc w:val="center"/>
              <w:rPr>
                <w:rFonts w:ascii="Arial" w:hAnsi="Arial" w:cs="Arial"/>
                <w:sz w:val="18"/>
              </w:rPr>
            </w:pPr>
            <w:r w:rsidRPr="00A60B5A">
              <w:rPr>
                <w:rFonts w:ascii="Arial" w:hAnsi="Arial" w:cs="Arial"/>
                <w:bCs/>
                <w:sz w:val="18"/>
              </w:rPr>
              <w:t>0.52</w:t>
            </w:r>
          </w:p>
        </w:tc>
      </w:tr>
      <w:tr w:rsidR="00915A5B" w:rsidRPr="00752FA6" w14:paraId="13D8FD7F" w14:textId="77777777" w:rsidTr="006B7709">
        <w:trPr>
          <w:trHeight w:val="192"/>
        </w:trPr>
        <w:tc>
          <w:tcPr>
            <w:tcW w:w="563"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center"/>
          </w:tcPr>
          <w:p w14:paraId="13C172B4" w14:textId="77777777" w:rsidR="00915A5B" w:rsidRPr="00752FA6" w:rsidRDefault="00915A5B" w:rsidP="006B7709">
            <w:pPr>
              <w:jc w:val="center"/>
              <w:rPr>
                <w:rFonts w:ascii="Arial" w:hAnsi="Arial" w:cs="Arial"/>
                <w:b/>
                <w:bCs/>
                <w:sz w:val="18"/>
              </w:rPr>
            </w:pPr>
            <w:r w:rsidRPr="00752FA6">
              <w:rPr>
                <w:rFonts w:ascii="Wingdings" w:hAnsi="Wingdings" w:cs="Arial"/>
                <w:b/>
                <w:bCs/>
                <w:sz w:val="18"/>
              </w:rPr>
              <w:t></w:t>
            </w:r>
            <w:r w:rsidRPr="00752FA6">
              <w:rPr>
                <w:rFonts w:ascii="Wingdings" w:hAnsi="Wingdings" w:cs="Arial"/>
                <w:b/>
                <w:bCs/>
                <w:sz w:val="18"/>
              </w:rPr>
              <w:t></w:t>
            </w:r>
            <w:r w:rsidRPr="00752FA6">
              <w:rPr>
                <w:rFonts w:ascii="Wingdings" w:hAnsi="Wingdings" w:cs="Arial"/>
                <w:b/>
                <w:bCs/>
                <w:sz w:val="18"/>
              </w:rPr>
              <w:t></w:t>
            </w:r>
          </w:p>
        </w:tc>
        <w:tc>
          <w:tcPr>
            <w:tcW w:w="555" w:type="pct"/>
            <w:tcBorders>
              <w:top w:val="single" w:sz="8" w:space="0" w:color="0079C1"/>
              <w:left w:val="single" w:sz="8" w:space="0" w:color="0079C1"/>
              <w:bottom w:val="single" w:sz="8" w:space="0" w:color="0079C1"/>
              <w:right w:val="single" w:sz="18" w:space="0" w:color="4F81BD" w:themeColor="accent1"/>
            </w:tcBorders>
            <w:shd w:val="clear" w:color="auto" w:fill="auto"/>
            <w:tcMar>
              <w:top w:w="12" w:type="dxa"/>
              <w:left w:w="12" w:type="dxa"/>
              <w:bottom w:w="0" w:type="dxa"/>
              <w:right w:w="12" w:type="dxa"/>
            </w:tcMar>
            <w:vAlign w:val="center"/>
          </w:tcPr>
          <w:p w14:paraId="7F5A2E04" w14:textId="77777777" w:rsidR="00915A5B" w:rsidRPr="00752FA6" w:rsidRDefault="00915A5B" w:rsidP="006B7709">
            <w:pPr>
              <w:jc w:val="center"/>
              <w:rPr>
                <w:rFonts w:ascii="Arial" w:hAnsi="Arial" w:cs="Arial"/>
                <w:b/>
                <w:bCs/>
                <w:sz w:val="18"/>
              </w:rPr>
            </w:pPr>
            <w:r w:rsidRPr="00752FA6">
              <w:rPr>
                <w:rFonts w:ascii="Wingdings" w:hAnsi="Wingdings" w:cs="Arial"/>
                <w:b/>
                <w:bCs/>
                <w:sz w:val="18"/>
              </w:rPr>
              <w:t></w:t>
            </w:r>
            <w:r w:rsidRPr="00752FA6">
              <w:rPr>
                <w:rFonts w:ascii="Wingdings" w:hAnsi="Wingdings" w:cs="Arial"/>
                <w:b/>
                <w:bCs/>
                <w:sz w:val="18"/>
              </w:rPr>
              <w:t></w:t>
            </w:r>
            <w:r w:rsidRPr="00752FA6">
              <w:rPr>
                <w:rFonts w:ascii="Wingdings" w:hAnsi="Wingdings" w:cs="Arial"/>
                <w:b/>
                <w:bCs/>
                <w:sz w:val="18"/>
              </w:rPr>
              <w:t></w:t>
            </w:r>
          </w:p>
        </w:tc>
        <w:tc>
          <w:tcPr>
            <w:tcW w:w="512" w:type="pct"/>
            <w:tcBorders>
              <w:top w:val="single" w:sz="8" w:space="0" w:color="0079C1"/>
              <w:left w:val="single" w:sz="18" w:space="0" w:color="4F81BD" w:themeColor="accent1"/>
              <w:bottom w:val="single" w:sz="8" w:space="0" w:color="0079C1"/>
              <w:right w:val="single" w:sz="4" w:space="0" w:color="4F81BD" w:themeColor="accent1"/>
            </w:tcBorders>
          </w:tcPr>
          <w:p w14:paraId="41A44C5C" w14:textId="23DABAA3" w:rsidR="00915A5B" w:rsidRPr="00752FA6" w:rsidRDefault="00374990" w:rsidP="006B7709">
            <w:pPr>
              <w:jc w:val="center"/>
              <w:rPr>
                <w:rFonts w:ascii="Wingdings" w:hAnsi="Wingdings" w:cs="Arial"/>
                <w:b/>
                <w:bCs/>
                <w:sz w:val="18"/>
              </w:rPr>
            </w:pPr>
            <w:r w:rsidRPr="00752FA6">
              <w:rPr>
                <w:rFonts w:ascii="Wingdings" w:hAnsi="Wingdings" w:cs="Arial"/>
                <w:b/>
                <w:bCs/>
                <w:sz w:val="18"/>
              </w:rPr>
              <w:t></w:t>
            </w:r>
            <w:r w:rsidRPr="00752FA6">
              <w:rPr>
                <w:rFonts w:ascii="Wingdings" w:hAnsi="Wingdings" w:cs="Arial"/>
                <w:b/>
                <w:bCs/>
                <w:sz w:val="18"/>
              </w:rPr>
              <w:t></w:t>
            </w:r>
            <w:r w:rsidRPr="00752FA6">
              <w:rPr>
                <w:rFonts w:ascii="Wingdings" w:hAnsi="Wingdings" w:cs="Arial"/>
                <w:b/>
                <w:bCs/>
                <w:sz w:val="18"/>
              </w:rPr>
              <w:t></w:t>
            </w:r>
          </w:p>
        </w:tc>
        <w:tc>
          <w:tcPr>
            <w:tcW w:w="397" w:type="pct"/>
            <w:tcBorders>
              <w:top w:val="single" w:sz="8" w:space="0" w:color="0079C1"/>
              <w:left w:val="single" w:sz="4" w:space="0" w:color="4F81BD" w:themeColor="accent1"/>
              <w:bottom w:val="single" w:sz="8" w:space="0" w:color="0079C1"/>
              <w:right w:val="single" w:sz="8" w:space="0" w:color="0079C1"/>
            </w:tcBorders>
            <w:shd w:val="clear" w:color="auto" w:fill="auto"/>
            <w:tcMar>
              <w:top w:w="12" w:type="dxa"/>
              <w:left w:w="12" w:type="dxa"/>
              <w:bottom w:w="0" w:type="dxa"/>
              <w:right w:w="12" w:type="dxa"/>
            </w:tcMar>
            <w:vAlign w:val="center"/>
          </w:tcPr>
          <w:p w14:paraId="57123778" w14:textId="77777777" w:rsidR="00915A5B" w:rsidRPr="00A15D31" w:rsidRDefault="00915A5B" w:rsidP="006B7709">
            <w:pPr>
              <w:jc w:val="center"/>
              <w:rPr>
                <w:rFonts w:ascii="Arial" w:hAnsi="Arial" w:cs="Arial"/>
                <w:b/>
                <w:bCs/>
                <w:sz w:val="18"/>
              </w:rPr>
            </w:pPr>
            <w:r w:rsidRPr="00752FA6">
              <w:rPr>
                <w:rFonts w:ascii="Wingdings" w:hAnsi="Wingdings" w:cs="Arial"/>
                <w:b/>
                <w:bCs/>
                <w:sz w:val="18"/>
              </w:rPr>
              <w:t></w:t>
            </w:r>
            <w:r w:rsidRPr="00752FA6">
              <w:rPr>
                <w:rFonts w:ascii="Wingdings" w:hAnsi="Wingdings" w:cs="Arial"/>
                <w:b/>
                <w:bCs/>
                <w:sz w:val="18"/>
              </w:rPr>
              <w:t></w:t>
            </w:r>
            <w:r w:rsidRPr="00752FA6">
              <w:rPr>
                <w:rFonts w:ascii="Wingdings" w:hAnsi="Wingdings" w:cs="Arial"/>
                <w:b/>
                <w:bCs/>
                <w:sz w:val="18"/>
              </w:rPr>
              <w:t></w:t>
            </w:r>
          </w:p>
        </w:tc>
        <w:tc>
          <w:tcPr>
            <w:tcW w:w="451" w:type="pct"/>
            <w:tcBorders>
              <w:top w:val="single" w:sz="8" w:space="0" w:color="0079C1"/>
              <w:left w:val="single" w:sz="8" w:space="0" w:color="0079C1"/>
              <w:bottom w:val="single" w:sz="8" w:space="0" w:color="0079C1"/>
              <w:right w:val="single" w:sz="8" w:space="0" w:color="0079C1"/>
            </w:tcBorders>
            <w:shd w:val="clear" w:color="auto" w:fill="auto"/>
            <w:vAlign w:val="center"/>
          </w:tcPr>
          <w:p w14:paraId="70E6CC75" w14:textId="77777777" w:rsidR="00915A5B" w:rsidRPr="00A15D31" w:rsidRDefault="00915A5B" w:rsidP="006B7709">
            <w:pPr>
              <w:jc w:val="center"/>
              <w:rPr>
                <w:rFonts w:ascii="Arial" w:hAnsi="Arial" w:cs="Arial"/>
                <w:b/>
                <w:sz w:val="18"/>
              </w:rPr>
            </w:pPr>
            <w:r w:rsidRPr="00752FA6">
              <w:rPr>
                <w:rFonts w:ascii="Wingdings" w:hAnsi="Wingdings" w:cs="Arial"/>
                <w:b/>
                <w:bCs/>
                <w:sz w:val="18"/>
              </w:rPr>
              <w:t></w:t>
            </w:r>
            <w:r w:rsidRPr="00752FA6">
              <w:rPr>
                <w:rFonts w:ascii="Wingdings" w:hAnsi="Wingdings" w:cs="Arial"/>
                <w:b/>
                <w:bCs/>
                <w:sz w:val="18"/>
              </w:rPr>
              <w:t></w:t>
            </w:r>
            <w:r w:rsidRPr="00752FA6">
              <w:rPr>
                <w:rFonts w:ascii="Wingdings" w:hAnsi="Wingdings" w:cs="Arial"/>
                <w:b/>
                <w:bCs/>
                <w:sz w:val="18"/>
              </w:rPr>
              <w:t></w:t>
            </w:r>
          </w:p>
        </w:tc>
        <w:tc>
          <w:tcPr>
            <w:tcW w:w="452"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center"/>
          </w:tcPr>
          <w:p w14:paraId="613EAAD9" w14:textId="77777777" w:rsidR="00915A5B" w:rsidRPr="00A15D31" w:rsidRDefault="00915A5B" w:rsidP="006B7709">
            <w:pPr>
              <w:jc w:val="center"/>
              <w:rPr>
                <w:rFonts w:ascii="Arial" w:hAnsi="Arial" w:cs="Arial"/>
                <w:b/>
                <w:bCs/>
                <w:sz w:val="18"/>
              </w:rPr>
            </w:pPr>
            <w:r w:rsidRPr="00752FA6">
              <w:rPr>
                <w:rFonts w:ascii="Wingdings" w:hAnsi="Wingdings" w:cs="Arial"/>
                <w:b/>
                <w:bCs/>
                <w:sz w:val="18"/>
              </w:rPr>
              <w:t></w:t>
            </w:r>
            <w:r w:rsidRPr="00752FA6">
              <w:rPr>
                <w:rFonts w:ascii="Wingdings" w:hAnsi="Wingdings" w:cs="Arial"/>
                <w:b/>
                <w:bCs/>
                <w:sz w:val="18"/>
              </w:rPr>
              <w:t></w:t>
            </w:r>
            <w:r w:rsidRPr="00752FA6">
              <w:rPr>
                <w:rFonts w:ascii="Wingdings" w:hAnsi="Wingdings" w:cs="Arial"/>
                <w:b/>
                <w:bCs/>
                <w:sz w:val="18"/>
              </w:rPr>
              <w:t></w:t>
            </w:r>
          </w:p>
        </w:tc>
        <w:tc>
          <w:tcPr>
            <w:tcW w:w="354" w:type="pct"/>
            <w:tcBorders>
              <w:top w:val="single" w:sz="8" w:space="0" w:color="0079C1"/>
              <w:left w:val="single" w:sz="8" w:space="0" w:color="0079C1"/>
              <w:bottom w:val="single" w:sz="8" w:space="0" w:color="0079C1"/>
              <w:right w:val="single" w:sz="8" w:space="0" w:color="0079C1"/>
            </w:tcBorders>
            <w:shd w:val="clear" w:color="auto" w:fill="auto"/>
            <w:vAlign w:val="center"/>
          </w:tcPr>
          <w:p w14:paraId="3C2D3AE6" w14:textId="77777777" w:rsidR="00915A5B" w:rsidRPr="00A15D31" w:rsidRDefault="00915A5B" w:rsidP="006B7709">
            <w:pPr>
              <w:jc w:val="center"/>
              <w:rPr>
                <w:rFonts w:ascii="Arial" w:hAnsi="Arial" w:cs="Arial"/>
                <w:b/>
                <w:sz w:val="18"/>
              </w:rPr>
            </w:pPr>
            <w:r w:rsidRPr="00752FA6">
              <w:rPr>
                <w:rFonts w:ascii="Wingdings" w:hAnsi="Wingdings" w:cs="Arial"/>
                <w:b/>
                <w:bCs/>
                <w:sz w:val="18"/>
              </w:rPr>
              <w:t></w:t>
            </w:r>
            <w:r w:rsidRPr="00752FA6">
              <w:rPr>
                <w:rFonts w:ascii="Wingdings" w:hAnsi="Wingdings" w:cs="Arial"/>
                <w:b/>
                <w:bCs/>
                <w:sz w:val="18"/>
              </w:rPr>
              <w:t></w:t>
            </w:r>
            <w:r w:rsidRPr="00752FA6">
              <w:rPr>
                <w:rFonts w:ascii="Wingdings" w:hAnsi="Wingdings" w:cs="Arial"/>
                <w:b/>
                <w:bCs/>
                <w:sz w:val="18"/>
              </w:rPr>
              <w:t></w:t>
            </w:r>
          </w:p>
        </w:tc>
        <w:tc>
          <w:tcPr>
            <w:tcW w:w="404" w:type="pct"/>
            <w:tcBorders>
              <w:top w:val="single" w:sz="8" w:space="0" w:color="0079C1"/>
              <w:left w:val="single" w:sz="8" w:space="0" w:color="0079C1"/>
              <w:bottom w:val="single" w:sz="8" w:space="0" w:color="0079C1"/>
              <w:right w:val="single" w:sz="8" w:space="0" w:color="0079C1"/>
            </w:tcBorders>
            <w:vAlign w:val="center"/>
          </w:tcPr>
          <w:p w14:paraId="2E394AE5" w14:textId="77777777" w:rsidR="00915A5B" w:rsidRPr="00752FA6" w:rsidRDefault="00915A5B" w:rsidP="006B7709">
            <w:pPr>
              <w:jc w:val="center"/>
              <w:rPr>
                <w:rFonts w:ascii="Wingdings" w:hAnsi="Wingdings" w:cs="Arial"/>
                <w:b/>
                <w:bCs/>
                <w:sz w:val="18"/>
              </w:rPr>
            </w:pPr>
            <w:r w:rsidRPr="00752FA6">
              <w:rPr>
                <w:rFonts w:ascii="Wingdings" w:hAnsi="Wingdings" w:cs="Arial"/>
                <w:b/>
                <w:bCs/>
                <w:sz w:val="18"/>
              </w:rPr>
              <w:t></w:t>
            </w:r>
            <w:r w:rsidRPr="00752FA6">
              <w:rPr>
                <w:rFonts w:ascii="Wingdings" w:hAnsi="Wingdings" w:cs="Arial"/>
                <w:b/>
                <w:bCs/>
                <w:sz w:val="18"/>
              </w:rPr>
              <w:t></w:t>
            </w:r>
            <w:r w:rsidRPr="00752FA6">
              <w:rPr>
                <w:rFonts w:ascii="Wingdings" w:hAnsi="Wingdings" w:cs="Arial"/>
                <w:b/>
                <w:bCs/>
                <w:sz w:val="18"/>
              </w:rPr>
              <w:t></w:t>
            </w:r>
          </w:p>
        </w:tc>
        <w:tc>
          <w:tcPr>
            <w:tcW w:w="354" w:type="pct"/>
            <w:tcBorders>
              <w:top w:val="single" w:sz="8" w:space="0" w:color="0079C1"/>
              <w:left w:val="single" w:sz="8" w:space="0" w:color="0079C1"/>
              <w:bottom w:val="single" w:sz="8" w:space="0" w:color="0079C1"/>
              <w:right w:val="single" w:sz="8" w:space="0" w:color="0079C1"/>
            </w:tcBorders>
            <w:shd w:val="clear" w:color="auto" w:fill="auto"/>
            <w:vAlign w:val="center"/>
          </w:tcPr>
          <w:p w14:paraId="66FAF5A7" w14:textId="77777777" w:rsidR="00915A5B" w:rsidRPr="00A15D31" w:rsidRDefault="00915A5B" w:rsidP="006B7709">
            <w:pPr>
              <w:jc w:val="center"/>
              <w:rPr>
                <w:rFonts w:ascii="Arial" w:hAnsi="Arial" w:cs="Arial"/>
                <w:b/>
                <w:sz w:val="18"/>
              </w:rPr>
            </w:pPr>
            <w:r w:rsidRPr="00752FA6">
              <w:rPr>
                <w:rFonts w:ascii="Wingdings" w:hAnsi="Wingdings" w:cs="Arial"/>
                <w:b/>
                <w:bCs/>
                <w:sz w:val="18"/>
              </w:rPr>
              <w:t></w:t>
            </w:r>
            <w:r w:rsidRPr="00752FA6">
              <w:rPr>
                <w:rFonts w:ascii="Wingdings" w:hAnsi="Wingdings" w:cs="Arial"/>
                <w:b/>
                <w:bCs/>
                <w:sz w:val="18"/>
              </w:rPr>
              <w:t></w:t>
            </w:r>
            <w:r w:rsidRPr="00752FA6">
              <w:rPr>
                <w:rFonts w:ascii="Wingdings" w:hAnsi="Wingdings" w:cs="Arial"/>
                <w:b/>
                <w:bCs/>
                <w:sz w:val="18"/>
              </w:rPr>
              <w:t></w:t>
            </w:r>
          </w:p>
        </w:tc>
        <w:tc>
          <w:tcPr>
            <w:tcW w:w="40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center"/>
          </w:tcPr>
          <w:p w14:paraId="44AEE5EE" w14:textId="77777777" w:rsidR="00915A5B" w:rsidRPr="00A15D31" w:rsidRDefault="00915A5B" w:rsidP="006B7709">
            <w:pPr>
              <w:jc w:val="center"/>
              <w:rPr>
                <w:rFonts w:ascii="Arial" w:hAnsi="Arial" w:cs="Arial"/>
                <w:b/>
                <w:bCs/>
                <w:sz w:val="18"/>
              </w:rPr>
            </w:pPr>
            <w:r w:rsidRPr="00752FA6">
              <w:rPr>
                <w:rFonts w:ascii="Wingdings" w:hAnsi="Wingdings" w:cs="Arial"/>
                <w:b/>
                <w:bCs/>
                <w:sz w:val="18"/>
              </w:rPr>
              <w:t></w:t>
            </w:r>
            <w:r w:rsidRPr="00752FA6">
              <w:rPr>
                <w:rFonts w:ascii="Wingdings" w:hAnsi="Wingdings" w:cs="Arial"/>
                <w:b/>
                <w:bCs/>
                <w:sz w:val="18"/>
              </w:rPr>
              <w:t></w:t>
            </w:r>
            <w:r w:rsidRPr="00752FA6">
              <w:rPr>
                <w:rFonts w:ascii="Wingdings" w:hAnsi="Wingdings" w:cs="Arial"/>
                <w:b/>
                <w:bCs/>
                <w:sz w:val="18"/>
              </w:rPr>
              <w:t></w:t>
            </w:r>
          </w:p>
        </w:tc>
        <w:tc>
          <w:tcPr>
            <w:tcW w:w="554" w:type="pct"/>
            <w:tcBorders>
              <w:top w:val="single" w:sz="8" w:space="0" w:color="0079C1"/>
              <w:left w:val="single" w:sz="8" w:space="0" w:color="0079C1"/>
              <w:bottom w:val="single" w:sz="8" w:space="0" w:color="0079C1"/>
              <w:right w:val="single" w:sz="8" w:space="0" w:color="0079C1"/>
            </w:tcBorders>
            <w:shd w:val="clear" w:color="auto" w:fill="auto"/>
            <w:tcMar>
              <w:top w:w="12" w:type="dxa"/>
              <w:left w:w="12" w:type="dxa"/>
              <w:bottom w:w="0" w:type="dxa"/>
              <w:right w:w="12" w:type="dxa"/>
            </w:tcMar>
            <w:vAlign w:val="center"/>
          </w:tcPr>
          <w:p w14:paraId="04B7A246" w14:textId="77777777" w:rsidR="00915A5B" w:rsidRPr="00A15D31" w:rsidRDefault="00915A5B" w:rsidP="006B7709">
            <w:pPr>
              <w:jc w:val="center"/>
              <w:rPr>
                <w:rFonts w:ascii="Arial" w:hAnsi="Arial" w:cs="Arial"/>
                <w:b/>
                <w:bCs/>
                <w:sz w:val="18"/>
              </w:rPr>
            </w:pPr>
            <w:r w:rsidRPr="00752FA6">
              <w:rPr>
                <w:rFonts w:ascii="Wingdings" w:hAnsi="Wingdings" w:cs="Arial"/>
                <w:b/>
                <w:bCs/>
                <w:sz w:val="18"/>
              </w:rPr>
              <w:t></w:t>
            </w:r>
            <w:r w:rsidRPr="00752FA6">
              <w:rPr>
                <w:rFonts w:ascii="Wingdings" w:hAnsi="Wingdings" w:cs="Arial"/>
                <w:b/>
                <w:bCs/>
                <w:sz w:val="18"/>
              </w:rPr>
              <w:t></w:t>
            </w:r>
            <w:r w:rsidRPr="00752FA6">
              <w:rPr>
                <w:rFonts w:ascii="Wingdings" w:hAnsi="Wingdings" w:cs="Arial"/>
                <w:b/>
                <w:bCs/>
                <w:sz w:val="18"/>
              </w:rPr>
              <w:t></w:t>
            </w:r>
          </w:p>
        </w:tc>
      </w:tr>
    </w:tbl>
    <w:p w14:paraId="425D4111" w14:textId="77777777" w:rsidR="00915A5B" w:rsidRPr="00915A5B" w:rsidRDefault="00915A5B" w:rsidP="00915A5B">
      <w:pPr>
        <w:rPr>
          <w:rFonts w:cs="Times New Roman"/>
        </w:rPr>
      </w:pPr>
    </w:p>
    <w:p w14:paraId="12A83A91" w14:textId="4009AEE1" w:rsidR="00915A5B" w:rsidRPr="001D74E9" w:rsidRDefault="00D648D4" w:rsidP="00121D8F">
      <w:pPr>
        <w:rPr>
          <w:rFonts w:cs="Times New Roman"/>
        </w:rPr>
      </w:pPr>
      <w:r w:rsidRPr="001D74E9">
        <w:rPr>
          <w:rFonts w:cs="Times New Roman"/>
          <w:b/>
        </w:rPr>
        <w:t>Commercial Sector</w:t>
      </w:r>
    </w:p>
    <w:p w14:paraId="20909C54" w14:textId="2EDCB4C5" w:rsidR="0084474E" w:rsidRPr="0084474E" w:rsidRDefault="0084474E" w:rsidP="0084474E">
      <w:pPr>
        <w:rPr>
          <w:rFonts w:cs="Times New Roman"/>
        </w:rPr>
      </w:pPr>
      <w:r w:rsidRPr="0084474E">
        <w:rPr>
          <w:rFonts w:cs="Times New Roman"/>
        </w:rPr>
        <w:t>The commercial sector demand analysis required a similar disaggregation to the county level</w:t>
      </w:r>
      <w:r>
        <w:rPr>
          <w:rFonts w:cs="Times New Roman"/>
        </w:rPr>
        <w:t xml:space="preserve"> as the residential analysis.</w:t>
      </w:r>
    </w:p>
    <w:p w14:paraId="66C9F936" w14:textId="77777777" w:rsidR="0084474E" w:rsidRPr="0084474E" w:rsidRDefault="0084474E" w:rsidP="0084474E">
      <w:pPr>
        <w:rPr>
          <w:rFonts w:cs="Times New Roman"/>
        </w:rPr>
      </w:pPr>
    </w:p>
    <w:p w14:paraId="4E86BF7C" w14:textId="55AC09E6" w:rsidR="00D648D4" w:rsidRDefault="0084474E" w:rsidP="00121D8F">
      <w:pPr>
        <w:rPr>
          <w:rFonts w:cs="Times New Roman"/>
        </w:rPr>
      </w:pPr>
      <w:r w:rsidRPr="0084474E">
        <w:rPr>
          <w:rFonts w:cs="Times New Roman"/>
        </w:rPr>
        <w:t xml:space="preserve">EIA’s CBECS database provided two types of information: total thermal demand (trillion </w:t>
      </w:r>
      <w:r w:rsidR="008F7D6F">
        <w:rPr>
          <w:rFonts w:cs="Times New Roman"/>
        </w:rPr>
        <w:t>Btu</w:t>
      </w:r>
      <w:r w:rsidRPr="0084474E">
        <w:rPr>
          <w:rFonts w:cs="Times New Roman"/>
        </w:rPr>
        <w:t>) and thermal demand intensity (m</w:t>
      </w:r>
      <w:r w:rsidR="008F7D6F">
        <w:rPr>
          <w:rFonts w:cs="Times New Roman"/>
        </w:rPr>
        <w:t>Btu</w:t>
      </w:r>
      <w:r w:rsidRPr="0084474E">
        <w:rPr>
          <w:rFonts w:cs="Times New Roman"/>
        </w:rPr>
        <w:t>/sq</w:t>
      </w:r>
      <w:r w:rsidR="004D3128">
        <w:rPr>
          <w:rFonts w:cs="Times New Roman"/>
        </w:rPr>
        <w:t>.</w:t>
      </w:r>
      <w:r w:rsidRPr="0084474E">
        <w:rPr>
          <w:rFonts w:cs="Times New Roman"/>
        </w:rPr>
        <w:t xml:space="preserve"> ft</w:t>
      </w:r>
      <w:r w:rsidR="004D3128">
        <w:rPr>
          <w:rFonts w:cs="Times New Roman"/>
        </w:rPr>
        <w:t>.</w:t>
      </w:r>
      <w:r w:rsidRPr="0084474E">
        <w:rPr>
          <w:rFonts w:cs="Times New Roman"/>
        </w:rPr>
        <w:t>). Demand totals and intensity are provided at the EIA census division level (</w:t>
      </w:r>
      <w:r w:rsidR="00003BD3">
        <w:rPr>
          <w:rFonts w:cs="Times New Roman"/>
        </w:rPr>
        <w:t>nine</w:t>
      </w:r>
      <w:r w:rsidR="00003BD3" w:rsidRPr="0084474E">
        <w:rPr>
          <w:rFonts w:cs="Times New Roman"/>
        </w:rPr>
        <w:t xml:space="preserve"> </w:t>
      </w:r>
      <w:r w:rsidRPr="0084474E">
        <w:rPr>
          <w:rFonts w:cs="Times New Roman"/>
        </w:rPr>
        <w:t>divisions in the U</w:t>
      </w:r>
      <w:r w:rsidR="00380541">
        <w:rPr>
          <w:rFonts w:cs="Times New Roman"/>
        </w:rPr>
        <w:t xml:space="preserve">nited </w:t>
      </w:r>
      <w:r w:rsidRPr="0084474E">
        <w:rPr>
          <w:rFonts w:cs="Times New Roman"/>
        </w:rPr>
        <w:t>S</w:t>
      </w:r>
      <w:r w:rsidR="00380541">
        <w:rPr>
          <w:rFonts w:cs="Times New Roman"/>
        </w:rPr>
        <w:t>tates</w:t>
      </w:r>
      <w:r w:rsidRPr="0084474E">
        <w:rPr>
          <w:rFonts w:cs="Times New Roman"/>
        </w:rPr>
        <w:t xml:space="preserve">) and by principal building activity (PBA), and </w:t>
      </w:r>
      <w:r w:rsidR="00003BD3">
        <w:rPr>
          <w:rFonts w:cs="Times New Roman"/>
        </w:rPr>
        <w:t xml:space="preserve">are </w:t>
      </w:r>
      <w:r w:rsidRPr="0084474E">
        <w:rPr>
          <w:rFonts w:cs="Times New Roman"/>
        </w:rPr>
        <w:t>further broken down into more detail</w:t>
      </w:r>
      <w:r w:rsidR="00A77B26">
        <w:rPr>
          <w:rFonts w:cs="Times New Roman"/>
        </w:rPr>
        <w:t>ed</w:t>
      </w:r>
      <w:r w:rsidR="00DB615E">
        <w:rPr>
          <w:rFonts w:cs="Times New Roman"/>
        </w:rPr>
        <w:t xml:space="preserve"> building activity (</w:t>
      </w:r>
      <w:r w:rsidR="00A77B26">
        <w:rPr>
          <w:rFonts w:cs="Times New Roman"/>
        </w:rPr>
        <w:t>PBA-PLUS</w:t>
      </w:r>
      <w:r w:rsidR="00DB615E">
        <w:rPr>
          <w:rFonts w:cs="Times New Roman"/>
        </w:rPr>
        <w:t>)</w:t>
      </w:r>
      <w:r w:rsidR="00A77B26">
        <w:rPr>
          <w:rFonts w:cs="Times New Roman"/>
        </w:rPr>
        <w:t xml:space="preserve"> categories (</w:t>
      </w:r>
      <w:r w:rsidR="00013B58">
        <w:rPr>
          <w:rFonts w:cs="Times New Roman"/>
        </w:rPr>
        <w:t xml:space="preserve">Figure </w:t>
      </w:r>
      <w:r w:rsidR="00380541">
        <w:rPr>
          <w:rFonts w:cs="Times New Roman"/>
        </w:rPr>
        <w:t>3</w:t>
      </w:r>
      <w:r w:rsidRPr="0084474E">
        <w:rPr>
          <w:rFonts w:cs="Times New Roman"/>
        </w:rPr>
        <w:t xml:space="preserve">). </w:t>
      </w:r>
    </w:p>
    <w:p w14:paraId="52A81913" w14:textId="77777777" w:rsidR="006B7709" w:rsidRDefault="006B7709" w:rsidP="00121D8F">
      <w:pPr>
        <w:rPr>
          <w:rFonts w:cs="Times New Roman"/>
        </w:rPr>
      </w:pPr>
    </w:p>
    <w:p w14:paraId="7B5D4039" w14:textId="77777777" w:rsidR="00CB1F47" w:rsidRDefault="006B7709" w:rsidP="00CB1F47">
      <w:pPr>
        <w:keepNext/>
      </w:pPr>
      <w:r w:rsidRPr="00BE4A2C">
        <w:rPr>
          <w:noProof/>
        </w:rPr>
        <w:drawing>
          <wp:inline distT="0" distB="0" distL="0" distR="0" wp14:anchorId="579C7509" wp14:editId="5005E5EB">
            <wp:extent cx="2974694" cy="327787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BE4A2C">
        <w:rPr>
          <w:noProof/>
        </w:rPr>
        <w:t xml:space="preserve"> </w:t>
      </w:r>
      <w:r w:rsidRPr="00BE4A2C">
        <w:rPr>
          <w:noProof/>
        </w:rPr>
        <w:drawing>
          <wp:inline distT="0" distB="0" distL="0" distR="0" wp14:anchorId="21ED68E1" wp14:editId="22836CCC">
            <wp:extent cx="2916820" cy="327787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1496075" w14:textId="3C27254F" w:rsidR="00B364A5" w:rsidRPr="00A15D31" w:rsidRDefault="00CB1F47" w:rsidP="00B364A5">
      <w:pPr>
        <w:pStyle w:val="Caption"/>
        <w:jc w:val="center"/>
        <w:rPr>
          <w:rFonts w:cs="Times New Roman"/>
          <w:b w:val="0"/>
          <w:color w:val="auto"/>
        </w:rPr>
      </w:pPr>
      <w:bookmarkStart w:id="3" w:name="_Ref322771832"/>
      <w:r w:rsidRPr="00A15D31">
        <w:rPr>
          <w:rFonts w:cs="Times New Roman"/>
          <w:color w:val="auto"/>
        </w:rPr>
        <w:t xml:space="preserve">Figure </w:t>
      </w:r>
      <w:r w:rsidRPr="00A15D31">
        <w:rPr>
          <w:rFonts w:cs="Times New Roman"/>
          <w:color w:val="auto"/>
        </w:rPr>
        <w:fldChar w:fldCharType="begin"/>
      </w:r>
      <w:r w:rsidRPr="00A15D31">
        <w:rPr>
          <w:rFonts w:cs="Times New Roman"/>
          <w:color w:val="auto"/>
        </w:rPr>
        <w:instrText xml:space="preserve"> SEQ Figure \* ARABIC </w:instrText>
      </w:r>
      <w:r w:rsidRPr="00A15D31">
        <w:rPr>
          <w:rFonts w:cs="Times New Roman"/>
          <w:color w:val="auto"/>
        </w:rPr>
        <w:fldChar w:fldCharType="separate"/>
      </w:r>
      <w:r w:rsidR="00244063">
        <w:rPr>
          <w:rFonts w:cs="Times New Roman"/>
          <w:noProof/>
          <w:color w:val="auto"/>
        </w:rPr>
        <w:t>3</w:t>
      </w:r>
      <w:r w:rsidRPr="00A15D31">
        <w:rPr>
          <w:rFonts w:cs="Times New Roman"/>
          <w:color w:val="auto"/>
        </w:rPr>
        <w:fldChar w:fldCharType="end"/>
      </w:r>
      <w:bookmarkEnd w:id="3"/>
      <w:r w:rsidRPr="00A15D31">
        <w:rPr>
          <w:rFonts w:cs="Times New Roman"/>
          <w:color w:val="auto"/>
        </w:rPr>
        <w:t>:</w:t>
      </w:r>
      <w:r w:rsidRPr="00A15D31">
        <w:rPr>
          <w:rFonts w:cs="Times New Roman"/>
          <w:b w:val="0"/>
          <w:color w:val="auto"/>
        </w:rPr>
        <w:t xml:space="preserve"> Examples of PBAs and subcategories (PBA-PLUS)</w:t>
      </w:r>
    </w:p>
    <w:p w14:paraId="40AB3E86" w14:textId="77777777" w:rsidR="00B364A5" w:rsidRDefault="00B364A5" w:rsidP="00B364A5"/>
    <w:p w14:paraId="4F9938FF" w14:textId="016BC588" w:rsidR="00B364A5" w:rsidRDefault="00B364A5" w:rsidP="00B364A5">
      <w:pPr>
        <w:rPr>
          <w:rFonts w:cs="Times New Roman"/>
        </w:rPr>
      </w:pPr>
      <w:r w:rsidRPr="00B364A5">
        <w:rPr>
          <w:rFonts w:cs="Times New Roman"/>
        </w:rPr>
        <w:t xml:space="preserve">To disaggregate these data into usable county-level information, we used FEMA’s CDMS data, which provide information on the total area of each building type for each county, </w:t>
      </w:r>
      <w:r w:rsidR="00F8662D">
        <w:rPr>
          <w:rFonts w:cs="Times New Roman"/>
        </w:rPr>
        <w:t>using the formula described</w:t>
      </w:r>
      <w:r w:rsidRPr="00B364A5">
        <w:rPr>
          <w:rFonts w:cs="Times New Roman"/>
        </w:rPr>
        <w:t xml:space="preserve"> in Equation 3.</w:t>
      </w:r>
    </w:p>
    <w:p w14:paraId="6EF531C7" w14:textId="77777777" w:rsidR="00B364A5" w:rsidRDefault="00B364A5" w:rsidP="00B364A5">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
        <w:gridCol w:w="8730"/>
        <w:gridCol w:w="558"/>
      </w:tblGrid>
      <w:tr w:rsidR="00B364A5" w:rsidRPr="00B364A5" w14:paraId="73CC0518" w14:textId="77777777" w:rsidTr="00B364A5">
        <w:tc>
          <w:tcPr>
            <w:tcW w:w="288" w:type="dxa"/>
          </w:tcPr>
          <w:p w14:paraId="055CF5FA" w14:textId="77777777" w:rsidR="00B364A5" w:rsidRPr="00B364A5" w:rsidRDefault="00B364A5" w:rsidP="00EE6A10">
            <w:pPr>
              <w:rPr>
                <w:sz w:val="20"/>
              </w:rPr>
            </w:pPr>
          </w:p>
        </w:tc>
        <w:tc>
          <w:tcPr>
            <w:tcW w:w="8730" w:type="dxa"/>
          </w:tcPr>
          <w:p w14:paraId="5A552BAB" w14:textId="77777777" w:rsidR="00B364A5" w:rsidRPr="00B364A5" w:rsidRDefault="00B364A5" w:rsidP="00EE6A10">
            <w:pPr>
              <w:rPr>
                <w:sz w:val="20"/>
              </w:rPr>
            </w:pPr>
            <m:oMathPara>
              <m:oMath>
                <m:r>
                  <w:rPr>
                    <w:rFonts w:ascii="Cambria Math" w:hAnsi="Cambria Math"/>
                    <w:sz w:val="20"/>
                    <w:szCs w:val="22"/>
                  </w:rPr>
                  <m:t xml:space="preserve">Building Type 1 </m:t>
                </m:r>
                <m:d>
                  <m:dPr>
                    <m:ctrlPr>
                      <w:rPr>
                        <w:rFonts w:ascii="Cambria Math" w:hAnsi="Cambria Math"/>
                        <w:i/>
                        <w:sz w:val="20"/>
                        <w:szCs w:val="22"/>
                      </w:rPr>
                    </m:ctrlPr>
                  </m:dPr>
                  <m:e>
                    <m:r>
                      <w:rPr>
                        <w:rFonts w:ascii="Cambria Math" w:hAnsi="Cambria Math"/>
                        <w:sz w:val="20"/>
                        <w:szCs w:val="22"/>
                      </w:rPr>
                      <m:t>EIA</m:t>
                    </m:r>
                  </m:e>
                </m:d>
                <m:r>
                  <w:rPr>
                    <w:rFonts w:ascii="Cambria Math" w:hAnsi="Cambria Math"/>
                    <w:sz w:val="20"/>
                    <w:szCs w:val="22"/>
                  </w:rPr>
                  <m:t xml:space="preserve"> Thermal Demand Intensity</m:t>
                </m:r>
                <m:d>
                  <m:dPr>
                    <m:ctrlPr>
                      <w:rPr>
                        <w:rFonts w:ascii="Cambria Math" w:hAnsi="Cambria Math"/>
                        <w:i/>
                        <w:sz w:val="20"/>
                        <w:szCs w:val="22"/>
                      </w:rPr>
                    </m:ctrlPr>
                  </m:dPr>
                  <m:e>
                    <m:f>
                      <m:fPr>
                        <m:ctrlPr>
                          <w:rPr>
                            <w:rFonts w:ascii="Cambria Math" w:hAnsi="Cambria Math"/>
                            <w:i/>
                            <w:sz w:val="20"/>
                            <w:szCs w:val="22"/>
                          </w:rPr>
                        </m:ctrlPr>
                      </m:fPr>
                      <m:num>
                        <m:r>
                          <w:rPr>
                            <w:rFonts w:ascii="Cambria Math" w:hAnsi="Cambria Math"/>
                            <w:sz w:val="20"/>
                            <w:szCs w:val="22"/>
                          </w:rPr>
                          <m:t>mBTU</m:t>
                        </m:r>
                      </m:num>
                      <m:den>
                        <m:r>
                          <w:rPr>
                            <w:rFonts w:ascii="Cambria Math" w:hAnsi="Cambria Math"/>
                            <w:sz w:val="20"/>
                            <w:szCs w:val="22"/>
                          </w:rPr>
                          <m:t>sq ft</m:t>
                        </m:r>
                      </m:den>
                    </m:f>
                  </m:e>
                </m:d>
                <m:r>
                  <w:rPr>
                    <w:rFonts w:ascii="Cambria Math" w:hAnsi="Cambria Math"/>
                    <w:sz w:val="20"/>
                    <w:szCs w:val="22"/>
                  </w:rPr>
                  <m:t xml:space="preserve">× Building Type A </m:t>
                </m:r>
                <m:d>
                  <m:dPr>
                    <m:ctrlPr>
                      <w:rPr>
                        <w:rFonts w:ascii="Cambria Math" w:hAnsi="Cambria Math"/>
                        <w:i/>
                        <w:sz w:val="20"/>
                        <w:szCs w:val="22"/>
                      </w:rPr>
                    </m:ctrlPr>
                  </m:dPr>
                  <m:e>
                    <m:r>
                      <w:rPr>
                        <w:rFonts w:ascii="Cambria Math" w:hAnsi="Cambria Math"/>
                        <w:sz w:val="20"/>
                        <w:szCs w:val="22"/>
                      </w:rPr>
                      <m:t>FEMA</m:t>
                    </m:r>
                  </m:e>
                </m:d>
                <m:r>
                  <w:rPr>
                    <w:rFonts w:ascii="Cambria Math" w:hAnsi="Cambria Math"/>
                    <w:sz w:val="20"/>
                    <w:szCs w:val="22"/>
                  </w:rPr>
                  <m:t xml:space="preserve">Total Area </m:t>
                </m:r>
                <m:d>
                  <m:dPr>
                    <m:ctrlPr>
                      <w:rPr>
                        <w:rFonts w:ascii="Cambria Math" w:hAnsi="Cambria Math"/>
                        <w:i/>
                        <w:sz w:val="20"/>
                        <w:szCs w:val="22"/>
                      </w:rPr>
                    </m:ctrlPr>
                  </m:dPr>
                  <m:e>
                    <m:f>
                      <m:fPr>
                        <m:ctrlPr>
                          <w:rPr>
                            <w:rFonts w:ascii="Cambria Math" w:hAnsi="Cambria Math"/>
                            <w:i/>
                            <w:sz w:val="20"/>
                            <w:szCs w:val="22"/>
                          </w:rPr>
                        </m:ctrlPr>
                      </m:fPr>
                      <m:num>
                        <m:r>
                          <w:rPr>
                            <w:rFonts w:ascii="Cambria Math" w:hAnsi="Cambria Math"/>
                            <w:sz w:val="20"/>
                            <w:szCs w:val="22"/>
                          </w:rPr>
                          <m:t>sq ft</m:t>
                        </m:r>
                      </m:num>
                      <m:den>
                        <m:r>
                          <w:rPr>
                            <w:rFonts w:ascii="Cambria Math" w:hAnsi="Cambria Math"/>
                            <w:sz w:val="20"/>
                            <w:szCs w:val="22"/>
                          </w:rPr>
                          <m:t>county</m:t>
                        </m:r>
                      </m:den>
                    </m:f>
                  </m:e>
                </m:d>
                <m:r>
                  <w:rPr>
                    <w:rFonts w:ascii="Cambria Math" w:hAnsi="Cambria Math"/>
                    <w:sz w:val="20"/>
                    <w:szCs w:val="22"/>
                  </w:rPr>
                  <m:t xml:space="preserve">=Total County Thermal Demand for Building Type 1/A </m:t>
                </m:r>
                <m:d>
                  <m:dPr>
                    <m:ctrlPr>
                      <w:rPr>
                        <w:rFonts w:ascii="Cambria Math" w:hAnsi="Cambria Math"/>
                        <w:i/>
                        <w:sz w:val="20"/>
                        <w:szCs w:val="22"/>
                      </w:rPr>
                    </m:ctrlPr>
                  </m:dPr>
                  <m:e>
                    <m:f>
                      <m:fPr>
                        <m:ctrlPr>
                          <w:rPr>
                            <w:rFonts w:ascii="Cambria Math" w:hAnsi="Cambria Math"/>
                            <w:i/>
                            <w:sz w:val="20"/>
                            <w:szCs w:val="22"/>
                          </w:rPr>
                        </m:ctrlPr>
                      </m:fPr>
                      <m:num>
                        <m:r>
                          <w:rPr>
                            <w:rFonts w:ascii="Cambria Math" w:hAnsi="Cambria Math"/>
                            <w:sz w:val="20"/>
                            <w:szCs w:val="22"/>
                          </w:rPr>
                          <m:t>mBTU</m:t>
                        </m:r>
                      </m:num>
                      <m:den>
                        <m:r>
                          <w:rPr>
                            <w:rFonts w:ascii="Cambria Math" w:hAnsi="Cambria Math"/>
                            <w:sz w:val="20"/>
                            <w:szCs w:val="22"/>
                          </w:rPr>
                          <m:t>county</m:t>
                        </m:r>
                      </m:den>
                    </m:f>
                  </m:e>
                </m:d>
              </m:oMath>
            </m:oMathPara>
          </w:p>
        </w:tc>
        <w:tc>
          <w:tcPr>
            <w:tcW w:w="558" w:type="dxa"/>
            <w:vAlign w:val="center"/>
          </w:tcPr>
          <w:p w14:paraId="107933A3" w14:textId="77777777" w:rsidR="00B364A5" w:rsidRPr="008C14E2" w:rsidRDefault="00B364A5" w:rsidP="00EE6A10">
            <w:pPr>
              <w:jc w:val="center"/>
            </w:pPr>
            <w:r w:rsidRPr="008C14E2">
              <w:t>(3)</w:t>
            </w:r>
          </w:p>
          <w:p w14:paraId="14BEB901" w14:textId="77777777" w:rsidR="00B364A5" w:rsidRPr="00B364A5" w:rsidRDefault="00B364A5" w:rsidP="00EE6A10">
            <w:pPr>
              <w:jc w:val="center"/>
              <w:rPr>
                <w:sz w:val="20"/>
              </w:rPr>
            </w:pPr>
          </w:p>
        </w:tc>
      </w:tr>
    </w:tbl>
    <w:p w14:paraId="048A7AE4" w14:textId="77777777" w:rsidR="00B364A5" w:rsidRDefault="00B364A5" w:rsidP="00B364A5">
      <w:pPr>
        <w:rPr>
          <w:rFonts w:cs="Times New Roman"/>
        </w:rPr>
      </w:pPr>
    </w:p>
    <w:p w14:paraId="156CC569" w14:textId="13B7E166" w:rsidR="00355499" w:rsidRDefault="00355499" w:rsidP="00355499">
      <w:pPr>
        <w:rPr>
          <w:rFonts w:cs="Times New Roman"/>
        </w:rPr>
      </w:pPr>
      <w:r w:rsidRPr="00355499">
        <w:rPr>
          <w:rFonts w:cs="Times New Roman"/>
        </w:rPr>
        <w:t>This exercise was not quite as straightforward as shown in the equation, however, since EIA</w:t>
      </w:r>
      <w:r w:rsidR="00CF522C">
        <w:rPr>
          <w:rFonts w:cs="Times New Roman"/>
        </w:rPr>
        <w:t xml:space="preserve"> building activities</w:t>
      </w:r>
      <w:r w:rsidRPr="00355499">
        <w:rPr>
          <w:rFonts w:cs="Times New Roman"/>
        </w:rPr>
        <w:t xml:space="preserve"> and FEMA building types d</w:t>
      </w:r>
      <w:r w:rsidR="00E404CD">
        <w:rPr>
          <w:rFonts w:cs="Times New Roman"/>
        </w:rPr>
        <w:t>o</w:t>
      </w:r>
      <w:r w:rsidRPr="00355499">
        <w:rPr>
          <w:rFonts w:cs="Times New Roman"/>
        </w:rPr>
        <w:t xml:space="preserve"> not directly align and therefore had to be </w:t>
      </w:r>
      <w:r w:rsidR="002E48C9">
        <w:rPr>
          <w:rFonts w:cs="Times New Roman"/>
        </w:rPr>
        <w:t>manually reconciled</w:t>
      </w:r>
      <w:r w:rsidRPr="00355499">
        <w:rPr>
          <w:rFonts w:cs="Times New Roman"/>
        </w:rPr>
        <w:t xml:space="preserve">. Figure </w:t>
      </w:r>
      <w:r w:rsidR="00380541">
        <w:rPr>
          <w:rFonts w:cs="Times New Roman"/>
        </w:rPr>
        <w:t>4</w:t>
      </w:r>
      <w:r w:rsidRPr="00355499">
        <w:rPr>
          <w:rFonts w:cs="Times New Roman"/>
        </w:rPr>
        <w:t xml:space="preserve"> demonstrates a portion of the mapping procedure and shows an example of the building types that matched between PBA-PLUS and CDMS categories.</w:t>
      </w:r>
    </w:p>
    <w:p w14:paraId="714548A9" w14:textId="77777777" w:rsidR="007C45DE" w:rsidRDefault="007C45DE" w:rsidP="00355499">
      <w:pPr>
        <w:rPr>
          <w:rFonts w:cs="Times New Roman"/>
        </w:rPr>
      </w:pPr>
    </w:p>
    <w:p w14:paraId="0471B176" w14:textId="77777777" w:rsidR="007C45DE" w:rsidRDefault="007C45DE" w:rsidP="007C45DE">
      <w:pPr>
        <w:keepNext/>
        <w:jc w:val="center"/>
      </w:pPr>
      <w:r>
        <w:rPr>
          <w:noProof/>
        </w:rPr>
        <w:drawing>
          <wp:inline distT="0" distB="0" distL="0" distR="0" wp14:anchorId="1B872418" wp14:editId="2A8073AD">
            <wp:extent cx="4525701" cy="2816114"/>
            <wp:effectExtent l="0" t="0" r="0" b="381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5898" cy="2816237"/>
                    </a:xfrm>
                    <a:prstGeom prst="rect">
                      <a:avLst/>
                    </a:prstGeom>
                    <a:noFill/>
                    <a:ln>
                      <a:noFill/>
                    </a:ln>
                  </pic:spPr>
                </pic:pic>
              </a:graphicData>
            </a:graphic>
          </wp:inline>
        </w:drawing>
      </w:r>
    </w:p>
    <w:p w14:paraId="6646F67B" w14:textId="56D3D8FF" w:rsidR="007C45DE" w:rsidRDefault="007C45DE" w:rsidP="00013B58">
      <w:pPr>
        <w:pStyle w:val="Caption"/>
        <w:jc w:val="center"/>
      </w:pPr>
      <w:r w:rsidRPr="00A15D31">
        <w:rPr>
          <w:rFonts w:cs="Times New Roman"/>
          <w:color w:val="auto"/>
        </w:rPr>
        <w:t xml:space="preserve">Figure </w:t>
      </w:r>
      <w:r w:rsidRPr="00A15D31">
        <w:rPr>
          <w:rFonts w:cs="Times New Roman"/>
          <w:color w:val="auto"/>
        </w:rPr>
        <w:fldChar w:fldCharType="begin"/>
      </w:r>
      <w:r w:rsidRPr="00A15D31">
        <w:rPr>
          <w:rFonts w:cs="Times New Roman"/>
          <w:color w:val="auto"/>
        </w:rPr>
        <w:instrText xml:space="preserve"> SEQ Figure \* ARABIC </w:instrText>
      </w:r>
      <w:r w:rsidRPr="00A15D31">
        <w:rPr>
          <w:rFonts w:cs="Times New Roman"/>
          <w:color w:val="auto"/>
        </w:rPr>
        <w:fldChar w:fldCharType="separate"/>
      </w:r>
      <w:r w:rsidR="00244063">
        <w:rPr>
          <w:rFonts w:cs="Times New Roman"/>
          <w:noProof/>
          <w:color w:val="auto"/>
        </w:rPr>
        <w:t>4</w:t>
      </w:r>
      <w:r w:rsidRPr="00A15D31">
        <w:rPr>
          <w:rFonts w:cs="Times New Roman"/>
          <w:color w:val="auto"/>
        </w:rPr>
        <w:fldChar w:fldCharType="end"/>
      </w:r>
      <w:r w:rsidRPr="00A15D31">
        <w:rPr>
          <w:rFonts w:cs="Times New Roman"/>
          <w:color w:val="auto"/>
        </w:rPr>
        <w:t xml:space="preserve">: </w:t>
      </w:r>
      <w:r w:rsidRPr="00A15D31">
        <w:rPr>
          <w:rFonts w:cs="Times New Roman"/>
          <w:b w:val="0"/>
          <w:color w:val="auto"/>
        </w:rPr>
        <w:t xml:space="preserve">Example mapping of EIA PBAs to FEMA's </w:t>
      </w:r>
      <w:r w:rsidR="008C14E2" w:rsidRPr="00A15D31">
        <w:rPr>
          <w:rFonts w:cs="Times New Roman"/>
          <w:b w:val="0"/>
          <w:color w:val="auto"/>
        </w:rPr>
        <w:t>building types</w:t>
      </w:r>
    </w:p>
    <w:p w14:paraId="4B6AC0E6" w14:textId="56E4CBD7" w:rsidR="007C45DE" w:rsidRDefault="00F85EB0" w:rsidP="007C45DE">
      <w:pPr>
        <w:rPr>
          <w:rFonts w:cs="Times New Roman"/>
        </w:rPr>
      </w:pPr>
      <w:r>
        <w:rPr>
          <w:rFonts w:cs="Times New Roman"/>
        </w:rPr>
        <w:t>T</w:t>
      </w:r>
      <w:r w:rsidRPr="007C45DE">
        <w:rPr>
          <w:rFonts w:cs="Times New Roman"/>
        </w:rPr>
        <w:t>o verify our results</w:t>
      </w:r>
      <w:r>
        <w:rPr>
          <w:rFonts w:cs="Times New Roman"/>
        </w:rPr>
        <w:t>, we s</w:t>
      </w:r>
      <w:r w:rsidRPr="007C45DE">
        <w:rPr>
          <w:rFonts w:cs="Times New Roman"/>
        </w:rPr>
        <w:t>umm</w:t>
      </w:r>
      <w:r>
        <w:rPr>
          <w:rFonts w:cs="Times New Roman"/>
        </w:rPr>
        <w:t xml:space="preserve">ed </w:t>
      </w:r>
      <w:r w:rsidR="007C45DE" w:rsidRPr="007C45DE">
        <w:rPr>
          <w:rFonts w:cs="Times New Roman"/>
        </w:rPr>
        <w:t xml:space="preserve">the </w:t>
      </w:r>
      <w:r>
        <w:rPr>
          <w:rFonts w:cs="Times New Roman"/>
        </w:rPr>
        <w:t>total estimated</w:t>
      </w:r>
      <w:r w:rsidRPr="007C45DE">
        <w:rPr>
          <w:rFonts w:cs="Times New Roman"/>
        </w:rPr>
        <w:t xml:space="preserve"> </w:t>
      </w:r>
      <w:r w:rsidR="007C45DE" w:rsidRPr="007C45DE">
        <w:rPr>
          <w:rFonts w:cs="Times New Roman"/>
        </w:rPr>
        <w:t>demand</w:t>
      </w:r>
      <w:r>
        <w:rPr>
          <w:rFonts w:cs="Times New Roman"/>
        </w:rPr>
        <w:t xml:space="preserve"> for each county across building types and compared </w:t>
      </w:r>
      <w:r w:rsidR="007C45DE" w:rsidRPr="007C45DE">
        <w:rPr>
          <w:rFonts w:cs="Times New Roman"/>
        </w:rPr>
        <w:t xml:space="preserve">the sums </w:t>
      </w:r>
      <w:r>
        <w:rPr>
          <w:rFonts w:cs="Times New Roman"/>
        </w:rPr>
        <w:t>to</w:t>
      </w:r>
      <w:r w:rsidRPr="007C45DE">
        <w:rPr>
          <w:rFonts w:cs="Times New Roman"/>
        </w:rPr>
        <w:t xml:space="preserve"> </w:t>
      </w:r>
      <w:r w:rsidR="007C45DE" w:rsidRPr="007C45DE">
        <w:rPr>
          <w:rFonts w:cs="Times New Roman"/>
        </w:rPr>
        <w:t>the total thermal demand values provided by EIA at the census division levels.</w:t>
      </w:r>
      <w:r>
        <w:rPr>
          <w:rFonts w:cs="Times New Roman"/>
        </w:rPr>
        <w:t xml:space="preserve"> Where results differed from the EIA regional totals, we linearly recalibrated the estimates </w:t>
      </w:r>
      <w:r w:rsidR="00683057">
        <w:rPr>
          <w:rFonts w:cs="Times New Roman"/>
        </w:rPr>
        <w:t xml:space="preserve">for each county and building type </w:t>
      </w:r>
      <w:r>
        <w:rPr>
          <w:rFonts w:cs="Times New Roman"/>
        </w:rPr>
        <w:t xml:space="preserve">to ensure </w:t>
      </w:r>
      <w:r w:rsidR="00683057">
        <w:rPr>
          <w:rFonts w:cs="Times New Roman"/>
        </w:rPr>
        <w:t>an aggregate sum matching the reported total from EIA.</w:t>
      </w:r>
      <w:r w:rsidR="007C45DE" w:rsidRPr="007C45DE">
        <w:rPr>
          <w:rFonts w:cs="Times New Roman"/>
        </w:rPr>
        <w:t xml:space="preserve"> </w:t>
      </w:r>
      <w:r w:rsidR="00772722">
        <w:rPr>
          <w:rFonts w:cs="Times New Roman"/>
        </w:rPr>
        <w:fldChar w:fldCharType="begin"/>
      </w:r>
      <w:r w:rsidR="00772722">
        <w:rPr>
          <w:rFonts w:cs="Times New Roman"/>
        </w:rPr>
        <w:instrText xml:space="preserve"> REF _Ref322772134 \h </w:instrText>
      </w:r>
      <w:r w:rsidR="00772722">
        <w:rPr>
          <w:rFonts w:cs="Times New Roman"/>
        </w:rPr>
      </w:r>
      <w:r w:rsidR="00772722">
        <w:rPr>
          <w:rFonts w:cs="Times New Roman"/>
        </w:rPr>
        <w:fldChar w:fldCharType="separate"/>
      </w:r>
      <w:r w:rsidR="00244063" w:rsidRPr="00A15D31">
        <w:rPr>
          <w:rFonts w:cs="Times New Roman"/>
        </w:rPr>
        <w:t xml:space="preserve">Figure </w:t>
      </w:r>
      <w:r w:rsidR="00244063">
        <w:rPr>
          <w:rFonts w:cs="Times New Roman"/>
          <w:noProof/>
        </w:rPr>
        <w:t>5</w:t>
      </w:r>
      <w:r w:rsidR="00772722">
        <w:rPr>
          <w:rFonts w:cs="Times New Roman"/>
        </w:rPr>
        <w:fldChar w:fldCharType="end"/>
      </w:r>
      <w:r w:rsidR="00772722">
        <w:rPr>
          <w:rFonts w:cs="Times New Roman"/>
        </w:rPr>
        <w:t xml:space="preserve"> </w:t>
      </w:r>
      <w:r w:rsidR="007C45DE" w:rsidRPr="007C45DE">
        <w:rPr>
          <w:rFonts w:cs="Times New Roman"/>
        </w:rPr>
        <w:t>illustrates the overall workflow of the analysis.</w:t>
      </w:r>
    </w:p>
    <w:p w14:paraId="760CAB9B" w14:textId="77777777" w:rsidR="00772722" w:rsidRDefault="00EE6A10" w:rsidP="00772722">
      <w:pPr>
        <w:keepNext/>
      </w:pPr>
      <w:r w:rsidRPr="0069263D">
        <w:rPr>
          <w:noProof/>
        </w:rPr>
        <w:lastRenderedPageBreak/>
        <w:drawing>
          <wp:inline distT="0" distB="0" distL="0" distR="0" wp14:anchorId="7DB04299" wp14:editId="153001C3">
            <wp:extent cx="5486400" cy="2801073"/>
            <wp:effectExtent l="57150" t="0" r="571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FB65DD0" w14:textId="745F8DE9" w:rsidR="00EE6A10" w:rsidRPr="00A15D31" w:rsidRDefault="00772722" w:rsidP="00772722">
      <w:pPr>
        <w:pStyle w:val="Caption"/>
        <w:jc w:val="center"/>
        <w:rPr>
          <w:rFonts w:cs="Times New Roman"/>
          <w:color w:val="auto"/>
        </w:rPr>
      </w:pPr>
      <w:bookmarkStart w:id="4" w:name="_Ref322772134"/>
      <w:r w:rsidRPr="00A15D31">
        <w:rPr>
          <w:rFonts w:cs="Times New Roman"/>
          <w:color w:val="auto"/>
        </w:rPr>
        <w:t xml:space="preserve">Figure </w:t>
      </w:r>
      <w:r w:rsidRPr="00A15D31">
        <w:rPr>
          <w:rFonts w:cs="Times New Roman"/>
          <w:color w:val="auto"/>
        </w:rPr>
        <w:fldChar w:fldCharType="begin"/>
      </w:r>
      <w:r w:rsidRPr="00A15D31">
        <w:rPr>
          <w:rFonts w:cs="Times New Roman"/>
          <w:color w:val="auto"/>
        </w:rPr>
        <w:instrText xml:space="preserve"> SEQ Figure \* ARABIC </w:instrText>
      </w:r>
      <w:r w:rsidRPr="00A15D31">
        <w:rPr>
          <w:rFonts w:cs="Times New Roman"/>
          <w:color w:val="auto"/>
        </w:rPr>
        <w:fldChar w:fldCharType="separate"/>
      </w:r>
      <w:r w:rsidR="00244063">
        <w:rPr>
          <w:rFonts w:cs="Times New Roman"/>
          <w:noProof/>
          <w:color w:val="auto"/>
        </w:rPr>
        <w:t>5</w:t>
      </w:r>
      <w:r w:rsidRPr="00A15D31">
        <w:rPr>
          <w:rFonts w:cs="Times New Roman"/>
          <w:color w:val="auto"/>
        </w:rPr>
        <w:fldChar w:fldCharType="end"/>
      </w:r>
      <w:bookmarkEnd w:id="4"/>
      <w:r w:rsidRPr="00A15D31">
        <w:rPr>
          <w:rFonts w:cs="Times New Roman"/>
          <w:color w:val="auto"/>
        </w:rPr>
        <w:t xml:space="preserve">: </w:t>
      </w:r>
      <w:r w:rsidRPr="00A15D31">
        <w:rPr>
          <w:rFonts w:cs="Times New Roman"/>
          <w:b w:val="0"/>
          <w:color w:val="auto"/>
        </w:rPr>
        <w:t>General workflow for reconciling commercial analysis datasets</w:t>
      </w:r>
    </w:p>
    <w:p w14:paraId="69D64242" w14:textId="77777777" w:rsidR="00814606" w:rsidRDefault="00814606" w:rsidP="00814606"/>
    <w:p w14:paraId="54930E42" w14:textId="43E921F7" w:rsidR="00814606" w:rsidRPr="00814606" w:rsidRDefault="00814606" w:rsidP="00814606">
      <w:pPr>
        <w:rPr>
          <w:rFonts w:cs="Times New Roman"/>
        </w:rPr>
      </w:pPr>
      <w:r w:rsidRPr="00814606">
        <w:rPr>
          <w:rFonts w:cs="Times New Roman"/>
        </w:rPr>
        <w:t xml:space="preserve">The result of this analysis is partially shown in </w:t>
      </w:r>
      <w:r w:rsidR="009A4A00">
        <w:rPr>
          <w:rFonts w:cs="Times New Roman"/>
        </w:rPr>
        <w:fldChar w:fldCharType="begin"/>
      </w:r>
      <w:r w:rsidR="009A4A00">
        <w:rPr>
          <w:rFonts w:cs="Times New Roman"/>
        </w:rPr>
        <w:instrText xml:space="preserve"> REF _Ref322772278 \h </w:instrText>
      </w:r>
      <w:r w:rsidR="009A4A00">
        <w:rPr>
          <w:rFonts w:cs="Times New Roman"/>
        </w:rPr>
      </w:r>
      <w:r w:rsidR="009A4A00">
        <w:rPr>
          <w:rFonts w:cs="Times New Roman"/>
        </w:rPr>
        <w:fldChar w:fldCharType="separate"/>
      </w:r>
      <w:r w:rsidR="00244063" w:rsidRPr="00A15D31">
        <w:rPr>
          <w:rFonts w:cs="Times New Roman"/>
        </w:rPr>
        <w:t xml:space="preserve">Table </w:t>
      </w:r>
      <w:r w:rsidR="00244063">
        <w:rPr>
          <w:rFonts w:cs="Times New Roman"/>
          <w:noProof/>
        </w:rPr>
        <w:t>3</w:t>
      </w:r>
      <w:r w:rsidR="009A4A00">
        <w:rPr>
          <w:rFonts w:cs="Times New Roman"/>
        </w:rPr>
        <w:fldChar w:fldCharType="end"/>
      </w:r>
      <w:r w:rsidRPr="00814606">
        <w:rPr>
          <w:rFonts w:cs="Times New Roman"/>
        </w:rPr>
        <w:t>, which displays a subset of counties in Alabama and their space heating totals, as well as a subset of the 18 total CDMS building types.</w:t>
      </w:r>
    </w:p>
    <w:p w14:paraId="5BB8CCCB" w14:textId="77777777" w:rsidR="00814606" w:rsidRDefault="00814606" w:rsidP="00814606">
      <w:pPr>
        <w:rPr>
          <w:rFonts w:cs="Times New Roman"/>
        </w:rPr>
      </w:pPr>
    </w:p>
    <w:p w14:paraId="7E7B8968" w14:textId="18389810" w:rsidR="00FD1725" w:rsidRPr="00A15D31" w:rsidRDefault="00FD1725" w:rsidP="00FD1725">
      <w:pPr>
        <w:pStyle w:val="Caption"/>
        <w:keepNext/>
        <w:jc w:val="center"/>
        <w:rPr>
          <w:rFonts w:cs="Times New Roman"/>
          <w:color w:val="auto"/>
        </w:rPr>
      </w:pPr>
      <w:bookmarkStart w:id="5" w:name="_Ref322772278"/>
      <w:r w:rsidRPr="00A15D31">
        <w:rPr>
          <w:rFonts w:cs="Times New Roman"/>
          <w:color w:val="auto"/>
        </w:rPr>
        <w:t xml:space="preserve">Table </w:t>
      </w:r>
      <w:r w:rsidRPr="00A15D31">
        <w:rPr>
          <w:rFonts w:cs="Times New Roman"/>
          <w:color w:val="auto"/>
        </w:rPr>
        <w:fldChar w:fldCharType="begin"/>
      </w:r>
      <w:r w:rsidRPr="00A15D31">
        <w:rPr>
          <w:rFonts w:cs="Times New Roman"/>
          <w:color w:val="auto"/>
        </w:rPr>
        <w:instrText xml:space="preserve"> SEQ Table \* ARABIC </w:instrText>
      </w:r>
      <w:r w:rsidRPr="00A15D31">
        <w:rPr>
          <w:rFonts w:cs="Times New Roman"/>
          <w:color w:val="auto"/>
        </w:rPr>
        <w:fldChar w:fldCharType="separate"/>
      </w:r>
      <w:r w:rsidR="00244063">
        <w:rPr>
          <w:rFonts w:cs="Times New Roman"/>
          <w:noProof/>
          <w:color w:val="auto"/>
        </w:rPr>
        <w:t>3</w:t>
      </w:r>
      <w:r w:rsidRPr="00A15D31">
        <w:rPr>
          <w:rFonts w:cs="Times New Roman"/>
          <w:color w:val="auto"/>
        </w:rPr>
        <w:fldChar w:fldCharType="end"/>
      </w:r>
      <w:bookmarkEnd w:id="5"/>
      <w:r w:rsidRPr="00A15D31">
        <w:rPr>
          <w:rFonts w:cs="Times New Roman"/>
          <w:color w:val="auto"/>
        </w:rPr>
        <w:t xml:space="preserve">: </w:t>
      </w:r>
      <w:r w:rsidR="00072454">
        <w:rPr>
          <w:rFonts w:cs="Times New Roman"/>
          <w:b w:val="0"/>
          <w:color w:val="auto"/>
        </w:rPr>
        <w:t>Space heating demand totals (b</w:t>
      </w:r>
      <w:r w:rsidRPr="00A15D31">
        <w:rPr>
          <w:rFonts w:cs="Times New Roman"/>
          <w:b w:val="0"/>
          <w:color w:val="auto"/>
        </w:rPr>
        <w:t xml:space="preserve">illion </w:t>
      </w:r>
      <w:r w:rsidR="008F7D6F">
        <w:rPr>
          <w:rFonts w:cs="Times New Roman"/>
          <w:b w:val="0"/>
          <w:color w:val="auto"/>
        </w:rPr>
        <w:t>Btu</w:t>
      </w:r>
      <w:r w:rsidRPr="00A15D31">
        <w:rPr>
          <w:rFonts w:cs="Times New Roman"/>
          <w:b w:val="0"/>
          <w:color w:val="auto"/>
        </w:rPr>
        <w:t>) by county and CDMS building type</w:t>
      </w:r>
    </w:p>
    <w:tbl>
      <w:tblPr>
        <w:tblW w:w="5104"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101" w:type="dxa"/>
          <w:right w:w="0" w:type="dxa"/>
        </w:tblCellMar>
        <w:tblLook w:val="0620" w:firstRow="1" w:lastRow="0" w:firstColumn="0" w:lastColumn="0" w:noHBand="1" w:noVBand="1"/>
      </w:tblPr>
      <w:tblGrid>
        <w:gridCol w:w="928"/>
        <w:gridCol w:w="1259"/>
        <w:gridCol w:w="722"/>
        <w:gridCol w:w="990"/>
        <w:gridCol w:w="988"/>
        <w:gridCol w:w="1173"/>
        <w:gridCol w:w="720"/>
        <w:gridCol w:w="900"/>
        <w:gridCol w:w="816"/>
        <w:gridCol w:w="1100"/>
      </w:tblGrid>
      <w:tr w:rsidR="00FD1725" w:rsidRPr="00F35CF7" w14:paraId="6D44138F" w14:textId="77777777" w:rsidTr="00A15D31">
        <w:trPr>
          <w:trHeight w:val="288"/>
          <w:jc w:val="center"/>
        </w:trPr>
        <w:tc>
          <w:tcPr>
            <w:tcW w:w="48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4F81BD" w:themeFill="accent1"/>
            <w:tcMar>
              <w:top w:w="20" w:type="dxa"/>
              <w:left w:w="20" w:type="dxa"/>
              <w:bottom w:w="0" w:type="dxa"/>
              <w:right w:w="20" w:type="dxa"/>
            </w:tcMar>
            <w:vAlign w:val="center"/>
            <w:hideMark/>
          </w:tcPr>
          <w:p w14:paraId="11F3C0F6" w14:textId="77777777" w:rsidR="00FD1725" w:rsidRPr="00F35CF7" w:rsidRDefault="00FD1725" w:rsidP="00820B5E">
            <w:pPr>
              <w:jc w:val="center"/>
              <w:rPr>
                <w:rFonts w:ascii="Arial" w:hAnsi="Arial" w:cs="Arial"/>
                <w:b/>
                <w:color w:val="FFFFFF" w:themeColor="background1"/>
                <w:sz w:val="18"/>
                <w:szCs w:val="18"/>
              </w:rPr>
            </w:pPr>
            <w:r w:rsidRPr="00F35CF7">
              <w:rPr>
                <w:rFonts w:ascii="Arial" w:hAnsi="Arial" w:cs="Arial"/>
                <w:b/>
                <w:bCs/>
                <w:color w:val="FFFFFF" w:themeColor="background1"/>
                <w:sz w:val="18"/>
                <w:szCs w:val="18"/>
              </w:rPr>
              <w:t>State</w:t>
            </w:r>
          </w:p>
        </w:tc>
        <w:tc>
          <w:tcPr>
            <w:tcW w:w="65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4F81BD" w:themeFill="accent1"/>
            <w:tcMar>
              <w:top w:w="20" w:type="dxa"/>
              <w:left w:w="20" w:type="dxa"/>
              <w:bottom w:w="0" w:type="dxa"/>
              <w:right w:w="20" w:type="dxa"/>
            </w:tcMar>
            <w:vAlign w:val="center"/>
            <w:hideMark/>
          </w:tcPr>
          <w:p w14:paraId="4F3E6812" w14:textId="77777777" w:rsidR="00FD1725" w:rsidRPr="00F35CF7" w:rsidRDefault="00FD1725" w:rsidP="00820B5E">
            <w:pPr>
              <w:jc w:val="center"/>
              <w:rPr>
                <w:rFonts w:ascii="Arial" w:hAnsi="Arial" w:cs="Arial"/>
                <w:b/>
                <w:color w:val="FFFFFF" w:themeColor="background1"/>
                <w:sz w:val="18"/>
                <w:szCs w:val="18"/>
              </w:rPr>
            </w:pPr>
            <w:r w:rsidRPr="00F35CF7">
              <w:rPr>
                <w:rFonts w:ascii="Arial" w:hAnsi="Arial" w:cs="Arial"/>
                <w:b/>
                <w:bCs/>
                <w:color w:val="FFFFFF" w:themeColor="background1"/>
                <w:sz w:val="18"/>
                <w:szCs w:val="18"/>
              </w:rPr>
              <w:t>County</w:t>
            </w:r>
          </w:p>
        </w:tc>
        <w:tc>
          <w:tcPr>
            <w:tcW w:w="37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4F81BD" w:themeFill="accent1"/>
            <w:tcMar>
              <w:top w:w="20" w:type="dxa"/>
              <w:left w:w="20" w:type="dxa"/>
              <w:bottom w:w="0" w:type="dxa"/>
              <w:right w:w="20" w:type="dxa"/>
            </w:tcMar>
            <w:vAlign w:val="center"/>
            <w:hideMark/>
          </w:tcPr>
          <w:p w14:paraId="282B580D" w14:textId="77777777" w:rsidR="00FD1725" w:rsidRPr="00F35CF7" w:rsidRDefault="00FD1725" w:rsidP="00820B5E">
            <w:pPr>
              <w:jc w:val="center"/>
              <w:rPr>
                <w:rFonts w:ascii="Arial" w:hAnsi="Arial" w:cs="Arial"/>
                <w:color w:val="FFFFFF" w:themeColor="background1"/>
                <w:sz w:val="18"/>
                <w:szCs w:val="18"/>
              </w:rPr>
            </w:pPr>
            <w:r w:rsidRPr="00F35CF7">
              <w:rPr>
                <w:rFonts w:ascii="Arial" w:hAnsi="Arial" w:cs="Arial"/>
                <w:b/>
                <w:bCs/>
                <w:color w:val="FFFFFF" w:themeColor="background1"/>
                <w:sz w:val="18"/>
                <w:szCs w:val="18"/>
              </w:rPr>
              <w:t>Retail Trade</w:t>
            </w:r>
          </w:p>
        </w:tc>
        <w:tc>
          <w:tcPr>
            <w:tcW w:w="5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4F81BD" w:themeFill="accent1"/>
            <w:tcMar>
              <w:top w:w="20" w:type="dxa"/>
              <w:left w:w="20" w:type="dxa"/>
              <w:bottom w:w="0" w:type="dxa"/>
              <w:right w:w="20" w:type="dxa"/>
            </w:tcMar>
            <w:vAlign w:val="center"/>
            <w:hideMark/>
          </w:tcPr>
          <w:p w14:paraId="21DDB893" w14:textId="77777777" w:rsidR="00FD1725" w:rsidRPr="00F35CF7" w:rsidRDefault="00FD1725" w:rsidP="00820B5E">
            <w:pPr>
              <w:jc w:val="center"/>
              <w:rPr>
                <w:rFonts w:ascii="Arial" w:hAnsi="Arial" w:cs="Arial"/>
                <w:color w:val="FFFFFF" w:themeColor="background1"/>
                <w:sz w:val="18"/>
                <w:szCs w:val="18"/>
              </w:rPr>
            </w:pPr>
            <w:r w:rsidRPr="00F35CF7">
              <w:rPr>
                <w:rFonts w:ascii="Arial" w:hAnsi="Arial" w:cs="Arial"/>
                <w:b/>
                <w:bCs/>
                <w:color w:val="FFFFFF" w:themeColor="background1"/>
                <w:sz w:val="18"/>
                <w:szCs w:val="18"/>
              </w:rPr>
              <w:t>Wholesale Trade</w:t>
            </w:r>
          </w:p>
        </w:tc>
        <w:tc>
          <w:tcPr>
            <w:tcW w:w="5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4F81BD" w:themeFill="accent1"/>
            <w:tcMar>
              <w:top w:w="20" w:type="dxa"/>
              <w:left w:w="20" w:type="dxa"/>
              <w:bottom w:w="0" w:type="dxa"/>
              <w:right w:w="20" w:type="dxa"/>
            </w:tcMar>
            <w:vAlign w:val="center"/>
            <w:hideMark/>
          </w:tcPr>
          <w:p w14:paraId="51FEAEAD" w14:textId="77777777" w:rsidR="00FD1725" w:rsidRPr="00F35CF7" w:rsidRDefault="00FD1725" w:rsidP="00820B5E">
            <w:pPr>
              <w:jc w:val="center"/>
              <w:rPr>
                <w:rFonts w:ascii="Arial" w:hAnsi="Arial" w:cs="Arial"/>
                <w:color w:val="FFFFFF" w:themeColor="background1"/>
                <w:sz w:val="18"/>
                <w:szCs w:val="18"/>
              </w:rPr>
            </w:pPr>
            <w:r w:rsidRPr="00F35CF7">
              <w:rPr>
                <w:rFonts w:ascii="Arial" w:hAnsi="Arial" w:cs="Arial"/>
                <w:b/>
                <w:bCs/>
                <w:color w:val="FFFFFF" w:themeColor="background1"/>
                <w:sz w:val="18"/>
                <w:szCs w:val="18"/>
              </w:rPr>
              <w:t>Personal and Repair Services</w:t>
            </w:r>
          </w:p>
        </w:tc>
        <w:tc>
          <w:tcPr>
            <w:tcW w:w="61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4F81BD" w:themeFill="accent1"/>
            <w:tcMar>
              <w:top w:w="20" w:type="dxa"/>
              <w:left w:w="20" w:type="dxa"/>
              <w:bottom w:w="0" w:type="dxa"/>
              <w:right w:w="20" w:type="dxa"/>
            </w:tcMar>
            <w:vAlign w:val="center"/>
            <w:hideMark/>
          </w:tcPr>
          <w:p w14:paraId="3280036E" w14:textId="77777777" w:rsidR="00FD1725" w:rsidRPr="00F35CF7" w:rsidRDefault="00FD1725" w:rsidP="00820B5E">
            <w:pPr>
              <w:jc w:val="center"/>
              <w:rPr>
                <w:rFonts w:ascii="Arial" w:hAnsi="Arial" w:cs="Arial"/>
                <w:color w:val="FFFFFF" w:themeColor="background1"/>
                <w:sz w:val="18"/>
                <w:szCs w:val="18"/>
              </w:rPr>
            </w:pPr>
            <w:r w:rsidRPr="00805F2A">
              <w:rPr>
                <w:rFonts w:ascii="Arial" w:hAnsi="Arial" w:cs="Arial"/>
                <w:b/>
                <w:bCs/>
                <w:color w:val="FFFFFF" w:themeColor="background1"/>
                <w:sz w:val="18"/>
                <w:szCs w:val="18"/>
              </w:rPr>
              <w:t>Professional/ Technical Services</w:t>
            </w:r>
          </w:p>
        </w:tc>
        <w:tc>
          <w:tcPr>
            <w:tcW w:w="37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4F81BD" w:themeFill="accent1"/>
            <w:tcMar>
              <w:top w:w="20" w:type="dxa"/>
              <w:left w:w="20" w:type="dxa"/>
              <w:bottom w:w="0" w:type="dxa"/>
              <w:right w:w="20" w:type="dxa"/>
            </w:tcMar>
            <w:vAlign w:val="center"/>
            <w:hideMark/>
          </w:tcPr>
          <w:p w14:paraId="741071F8" w14:textId="77777777" w:rsidR="00FD1725" w:rsidRPr="00F35CF7" w:rsidRDefault="00FD1725" w:rsidP="00820B5E">
            <w:pPr>
              <w:jc w:val="center"/>
              <w:rPr>
                <w:rFonts w:ascii="Arial" w:hAnsi="Arial" w:cs="Arial"/>
                <w:color w:val="FFFFFF" w:themeColor="background1"/>
                <w:sz w:val="18"/>
                <w:szCs w:val="18"/>
              </w:rPr>
            </w:pPr>
            <w:r w:rsidRPr="00805F2A">
              <w:rPr>
                <w:rFonts w:ascii="Arial" w:hAnsi="Arial" w:cs="Arial"/>
                <w:b/>
                <w:bCs/>
                <w:color w:val="FFFFFF" w:themeColor="background1"/>
                <w:sz w:val="18"/>
                <w:szCs w:val="18"/>
              </w:rPr>
              <w:t>Banks</w:t>
            </w:r>
          </w:p>
        </w:tc>
        <w:tc>
          <w:tcPr>
            <w:tcW w:w="46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4F81BD" w:themeFill="accent1"/>
            <w:tcMar>
              <w:top w:w="20" w:type="dxa"/>
              <w:left w:w="20" w:type="dxa"/>
              <w:bottom w:w="0" w:type="dxa"/>
              <w:right w:w="20" w:type="dxa"/>
            </w:tcMar>
            <w:vAlign w:val="center"/>
            <w:hideMark/>
          </w:tcPr>
          <w:p w14:paraId="35F11D39" w14:textId="77777777" w:rsidR="00FD1725" w:rsidRPr="00F35CF7" w:rsidRDefault="00FD1725" w:rsidP="00820B5E">
            <w:pPr>
              <w:jc w:val="center"/>
              <w:rPr>
                <w:rFonts w:ascii="Arial" w:hAnsi="Arial" w:cs="Arial"/>
                <w:color w:val="FFFFFF" w:themeColor="background1"/>
                <w:sz w:val="18"/>
                <w:szCs w:val="18"/>
              </w:rPr>
            </w:pPr>
            <w:r w:rsidRPr="00805F2A">
              <w:rPr>
                <w:rFonts w:ascii="Arial" w:hAnsi="Arial" w:cs="Arial"/>
                <w:b/>
                <w:bCs/>
                <w:color w:val="FFFFFF" w:themeColor="background1"/>
                <w:sz w:val="18"/>
                <w:szCs w:val="18"/>
              </w:rPr>
              <w:t>Hospitals</w:t>
            </w:r>
          </w:p>
        </w:tc>
        <w:tc>
          <w:tcPr>
            <w:tcW w:w="42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4F81BD" w:themeFill="accent1"/>
            <w:tcMar>
              <w:top w:w="20" w:type="dxa"/>
              <w:left w:w="20" w:type="dxa"/>
              <w:bottom w:w="0" w:type="dxa"/>
              <w:right w:w="20" w:type="dxa"/>
            </w:tcMar>
            <w:vAlign w:val="center"/>
            <w:hideMark/>
          </w:tcPr>
          <w:p w14:paraId="7DFADD5C" w14:textId="77777777" w:rsidR="00FD1725" w:rsidRPr="00F35CF7" w:rsidRDefault="00FD1725" w:rsidP="00820B5E">
            <w:pPr>
              <w:jc w:val="center"/>
              <w:rPr>
                <w:rFonts w:ascii="Arial" w:hAnsi="Arial" w:cs="Arial"/>
                <w:color w:val="FFFFFF" w:themeColor="background1"/>
                <w:sz w:val="18"/>
                <w:szCs w:val="18"/>
              </w:rPr>
            </w:pPr>
            <w:r w:rsidRPr="00805F2A">
              <w:rPr>
                <w:rFonts w:ascii="Arial" w:hAnsi="Arial" w:cs="Arial"/>
                <w:b/>
                <w:bCs/>
                <w:color w:val="FFFFFF" w:themeColor="background1"/>
                <w:sz w:val="18"/>
                <w:szCs w:val="18"/>
              </w:rPr>
              <w:t>Grade Schools</w:t>
            </w:r>
          </w:p>
        </w:tc>
        <w:tc>
          <w:tcPr>
            <w:tcW w:w="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4F81BD" w:themeFill="accent1"/>
            <w:tcMar>
              <w:top w:w="20" w:type="dxa"/>
              <w:left w:w="20" w:type="dxa"/>
              <w:bottom w:w="0" w:type="dxa"/>
              <w:right w:w="20" w:type="dxa"/>
            </w:tcMar>
            <w:vAlign w:val="center"/>
            <w:hideMark/>
          </w:tcPr>
          <w:p w14:paraId="1C0B0178" w14:textId="77777777" w:rsidR="00FD1725" w:rsidRPr="00F35CF7" w:rsidRDefault="00FD1725" w:rsidP="00820B5E">
            <w:pPr>
              <w:jc w:val="center"/>
              <w:rPr>
                <w:rFonts w:ascii="Arial" w:hAnsi="Arial" w:cs="Arial"/>
                <w:color w:val="FFFFFF" w:themeColor="background1"/>
                <w:sz w:val="18"/>
                <w:szCs w:val="18"/>
              </w:rPr>
            </w:pPr>
            <w:r w:rsidRPr="00805F2A">
              <w:rPr>
                <w:rFonts w:ascii="Arial" w:hAnsi="Arial" w:cs="Arial"/>
                <w:b/>
                <w:bCs/>
                <w:color w:val="FFFFFF" w:themeColor="background1"/>
                <w:sz w:val="18"/>
                <w:szCs w:val="18"/>
              </w:rPr>
              <w:t>Colleges/ Universities</w:t>
            </w:r>
          </w:p>
        </w:tc>
      </w:tr>
      <w:tr w:rsidR="00FD1725" w:rsidRPr="009F1262" w14:paraId="353D24A2" w14:textId="77777777" w:rsidTr="00A15D31">
        <w:trPr>
          <w:trHeight w:val="288"/>
          <w:jc w:val="center"/>
        </w:trPr>
        <w:tc>
          <w:tcPr>
            <w:tcW w:w="484" w:type="pct"/>
            <w:tcBorders>
              <w:top w:val="single" w:sz="4" w:space="0" w:color="17365D" w:themeColor="text2" w:themeShade="BF"/>
            </w:tcBorders>
            <w:shd w:val="clear" w:color="auto" w:fill="auto"/>
            <w:tcMar>
              <w:top w:w="20" w:type="dxa"/>
              <w:left w:w="20" w:type="dxa"/>
              <w:bottom w:w="0" w:type="dxa"/>
              <w:right w:w="20" w:type="dxa"/>
            </w:tcMar>
            <w:vAlign w:val="center"/>
            <w:hideMark/>
          </w:tcPr>
          <w:p w14:paraId="67AF5347"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tcBorders>
              <w:top w:val="single" w:sz="4" w:space="0" w:color="17365D" w:themeColor="text2" w:themeShade="BF"/>
            </w:tcBorders>
            <w:shd w:val="clear" w:color="auto" w:fill="auto"/>
            <w:tcMar>
              <w:top w:w="20" w:type="dxa"/>
              <w:left w:w="20" w:type="dxa"/>
              <w:bottom w:w="0" w:type="dxa"/>
              <w:right w:w="20" w:type="dxa"/>
            </w:tcMar>
            <w:vAlign w:val="center"/>
            <w:hideMark/>
          </w:tcPr>
          <w:p w14:paraId="4C1AAE39" w14:textId="6DC05BD2"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Autauga</w:t>
            </w:r>
          </w:p>
        </w:tc>
        <w:tc>
          <w:tcPr>
            <w:tcW w:w="376" w:type="pct"/>
            <w:tcBorders>
              <w:top w:val="single" w:sz="4" w:space="0" w:color="17365D" w:themeColor="text2" w:themeShade="BF"/>
            </w:tcBorders>
            <w:shd w:val="clear" w:color="auto" w:fill="auto"/>
            <w:tcMar>
              <w:top w:w="20" w:type="dxa"/>
              <w:left w:w="20" w:type="dxa"/>
              <w:bottom w:w="0" w:type="dxa"/>
              <w:right w:w="20" w:type="dxa"/>
            </w:tcMar>
            <w:vAlign w:val="center"/>
            <w:hideMark/>
          </w:tcPr>
          <w:p w14:paraId="369A9BF8"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22.11</w:t>
            </w:r>
          </w:p>
        </w:tc>
        <w:tc>
          <w:tcPr>
            <w:tcW w:w="516" w:type="pct"/>
            <w:tcBorders>
              <w:top w:val="single" w:sz="4" w:space="0" w:color="17365D" w:themeColor="text2" w:themeShade="BF"/>
            </w:tcBorders>
            <w:shd w:val="clear" w:color="auto" w:fill="auto"/>
            <w:tcMar>
              <w:top w:w="20" w:type="dxa"/>
              <w:left w:w="20" w:type="dxa"/>
              <w:bottom w:w="0" w:type="dxa"/>
              <w:right w:w="20" w:type="dxa"/>
            </w:tcMar>
            <w:vAlign w:val="center"/>
            <w:hideMark/>
          </w:tcPr>
          <w:p w14:paraId="645E5C12"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1.70</w:t>
            </w:r>
          </w:p>
        </w:tc>
        <w:tc>
          <w:tcPr>
            <w:tcW w:w="515" w:type="pct"/>
            <w:tcBorders>
              <w:top w:val="single" w:sz="4" w:space="0" w:color="17365D" w:themeColor="text2" w:themeShade="BF"/>
            </w:tcBorders>
            <w:shd w:val="clear" w:color="auto" w:fill="auto"/>
            <w:tcMar>
              <w:top w:w="20" w:type="dxa"/>
              <w:left w:w="20" w:type="dxa"/>
              <w:bottom w:w="0" w:type="dxa"/>
              <w:right w:w="20" w:type="dxa"/>
            </w:tcMar>
            <w:vAlign w:val="center"/>
            <w:hideMark/>
          </w:tcPr>
          <w:p w14:paraId="12FF1CB9"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10.22</w:t>
            </w:r>
          </w:p>
        </w:tc>
        <w:tc>
          <w:tcPr>
            <w:tcW w:w="611" w:type="pct"/>
            <w:tcBorders>
              <w:top w:val="single" w:sz="4" w:space="0" w:color="17365D" w:themeColor="text2" w:themeShade="BF"/>
            </w:tcBorders>
            <w:shd w:val="clear" w:color="auto" w:fill="auto"/>
            <w:tcMar>
              <w:top w:w="20" w:type="dxa"/>
              <w:left w:w="20" w:type="dxa"/>
              <w:bottom w:w="0" w:type="dxa"/>
              <w:right w:w="20" w:type="dxa"/>
            </w:tcMar>
            <w:vAlign w:val="center"/>
            <w:hideMark/>
          </w:tcPr>
          <w:p w14:paraId="5FFD942F"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75.74</w:t>
            </w:r>
          </w:p>
        </w:tc>
        <w:tc>
          <w:tcPr>
            <w:tcW w:w="375" w:type="pct"/>
            <w:tcBorders>
              <w:top w:val="single" w:sz="4" w:space="0" w:color="17365D" w:themeColor="text2" w:themeShade="BF"/>
            </w:tcBorders>
            <w:shd w:val="clear" w:color="auto" w:fill="auto"/>
            <w:tcMar>
              <w:top w:w="20" w:type="dxa"/>
              <w:left w:w="20" w:type="dxa"/>
              <w:bottom w:w="0" w:type="dxa"/>
              <w:right w:w="20" w:type="dxa"/>
            </w:tcMar>
            <w:vAlign w:val="center"/>
            <w:hideMark/>
          </w:tcPr>
          <w:p w14:paraId="1E2ACB02"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1.03</w:t>
            </w:r>
          </w:p>
        </w:tc>
        <w:tc>
          <w:tcPr>
            <w:tcW w:w="469" w:type="pct"/>
            <w:tcBorders>
              <w:top w:val="single" w:sz="4" w:space="0" w:color="17365D" w:themeColor="text2" w:themeShade="BF"/>
            </w:tcBorders>
            <w:shd w:val="clear" w:color="auto" w:fill="auto"/>
            <w:tcMar>
              <w:top w:w="20" w:type="dxa"/>
              <w:left w:w="20" w:type="dxa"/>
              <w:bottom w:w="0" w:type="dxa"/>
              <w:right w:w="20" w:type="dxa"/>
            </w:tcMar>
            <w:vAlign w:val="center"/>
            <w:hideMark/>
          </w:tcPr>
          <w:p w14:paraId="6ABACFD6"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2.57</w:t>
            </w:r>
          </w:p>
        </w:tc>
        <w:tc>
          <w:tcPr>
            <w:tcW w:w="425" w:type="pct"/>
            <w:tcBorders>
              <w:top w:val="single" w:sz="4" w:space="0" w:color="17365D" w:themeColor="text2" w:themeShade="BF"/>
            </w:tcBorders>
            <w:shd w:val="clear" w:color="auto" w:fill="auto"/>
            <w:tcMar>
              <w:top w:w="20" w:type="dxa"/>
              <w:left w:w="20" w:type="dxa"/>
              <w:bottom w:w="0" w:type="dxa"/>
              <w:right w:w="20" w:type="dxa"/>
            </w:tcMar>
            <w:vAlign w:val="center"/>
            <w:hideMark/>
          </w:tcPr>
          <w:p w14:paraId="1BC422DB"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5.27</w:t>
            </w:r>
          </w:p>
        </w:tc>
        <w:tc>
          <w:tcPr>
            <w:tcW w:w="573" w:type="pct"/>
            <w:tcBorders>
              <w:top w:val="single" w:sz="4" w:space="0" w:color="17365D" w:themeColor="text2" w:themeShade="BF"/>
            </w:tcBorders>
            <w:shd w:val="clear" w:color="auto" w:fill="auto"/>
            <w:tcMar>
              <w:top w:w="20" w:type="dxa"/>
              <w:left w:w="20" w:type="dxa"/>
              <w:bottom w:w="0" w:type="dxa"/>
              <w:right w:w="20" w:type="dxa"/>
            </w:tcMar>
            <w:vAlign w:val="center"/>
            <w:hideMark/>
          </w:tcPr>
          <w:p w14:paraId="4E79E46E"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0.23</w:t>
            </w:r>
          </w:p>
        </w:tc>
      </w:tr>
      <w:tr w:rsidR="00FD1725" w:rsidRPr="009F1262" w14:paraId="22ED6A4B"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05B31812"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42AF2D60" w14:textId="078F7A28"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Baldwin</w:t>
            </w:r>
          </w:p>
        </w:tc>
        <w:tc>
          <w:tcPr>
            <w:tcW w:w="376" w:type="pct"/>
            <w:shd w:val="clear" w:color="auto" w:fill="auto"/>
            <w:tcMar>
              <w:top w:w="20" w:type="dxa"/>
              <w:left w:w="20" w:type="dxa"/>
              <w:bottom w:w="0" w:type="dxa"/>
              <w:right w:w="20" w:type="dxa"/>
            </w:tcMar>
            <w:vAlign w:val="center"/>
            <w:hideMark/>
          </w:tcPr>
          <w:p w14:paraId="556C969D"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136.08</w:t>
            </w:r>
          </w:p>
        </w:tc>
        <w:tc>
          <w:tcPr>
            <w:tcW w:w="516" w:type="pct"/>
            <w:shd w:val="clear" w:color="auto" w:fill="auto"/>
            <w:tcMar>
              <w:top w:w="20" w:type="dxa"/>
              <w:left w:w="20" w:type="dxa"/>
              <w:bottom w:w="0" w:type="dxa"/>
              <w:right w:w="20" w:type="dxa"/>
            </w:tcMar>
            <w:vAlign w:val="center"/>
            <w:hideMark/>
          </w:tcPr>
          <w:p w14:paraId="41DADD9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11.39</w:t>
            </w:r>
          </w:p>
        </w:tc>
        <w:tc>
          <w:tcPr>
            <w:tcW w:w="515" w:type="pct"/>
            <w:shd w:val="clear" w:color="auto" w:fill="auto"/>
            <w:tcMar>
              <w:top w:w="20" w:type="dxa"/>
              <w:left w:w="20" w:type="dxa"/>
              <w:bottom w:w="0" w:type="dxa"/>
              <w:right w:w="20" w:type="dxa"/>
            </w:tcMar>
            <w:vAlign w:val="center"/>
            <w:hideMark/>
          </w:tcPr>
          <w:p w14:paraId="04742B40"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41.01</w:t>
            </w:r>
          </w:p>
        </w:tc>
        <w:tc>
          <w:tcPr>
            <w:tcW w:w="611" w:type="pct"/>
            <w:shd w:val="clear" w:color="auto" w:fill="auto"/>
            <w:tcMar>
              <w:top w:w="20" w:type="dxa"/>
              <w:left w:w="20" w:type="dxa"/>
              <w:bottom w:w="0" w:type="dxa"/>
              <w:right w:w="20" w:type="dxa"/>
            </w:tcMar>
            <w:vAlign w:val="center"/>
            <w:hideMark/>
          </w:tcPr>
          <w:p w14:paraId="77ABE29B"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522.30</w:t>
            </w:r>
          </w:p>
        </w:tc>
        <w:tc>
          <w:tcPr>
            <w:tcW w:w="375" w:type="pct"/>
            <w:shd w:val="clear" w:color="auto" w:fill="auto"/>
            <w:tcMar>
              <w:top w:w="20" w:type="dxa"/>
              <w:left w:w="20" w:type="dxa"/>
              <w:bottom w:w="0" w:type="dxa"/>
              <w:right w:w="20" w:type="dxa"/>
            </w:tcMar>
            <w:vAlign w:val="center"/>
            <w:hideMark/>
          </w:tcPr>
          <w:p w14:paraId="18214288"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4.46</w:t>
            </w:r>
          </w:p>
        </w:tc>
        <w:tc>
          <w:tcPr>
            <w:tcW w:w="469" w:type="pct"/>
            <w:shd w:val="clear" w:color="auto" w:fill="auto"/>
            <w:tcMar>
              <w:top w:w="20" w:type="dxa"/>
              <w:left w:w="20" w:type="dxa"/>
              <w:bottom w:w="0" w:type="dxa"/>
              <w:right w:w="20" w:type="dxa"/>
            </w:tcMar>
            <w:vAlign w:val="center"/>
            <w:hideMark/>
          </w:tcPr>
          <w:p w14:paraId="4F021660"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53.08</w:t>
            </w:r>
          </w:p>
        </w:tc>
        <w:tc>
          <w:tcPr>
            <w:tcW w:w="425" w:type="pct"/>
            <w:shd w:val="clear" w:color="auto" w:fill="auto"/>
            <w:tcMar>
              <w:top w:w="20" w:type="dxa"/>
              <w:left w:w="20" w:type="dxa"/>
              <w:bottom w:w="0" w:type="dxa"/>
              <w:right w:w="20" w:type="dxa"/>
            </w:tcMar>
            <w:vAlign w:val="center"/>
            <w:hideMark/>
          </w:tcPr>
          <w:p w14:paraId="1E2138D8"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17.32</w:t>
            </w:r>
          </w:p>
        </w:tc>
        <w:tc>
          <w:tcPr>
            <w:tcW w:w="573" w:type="pct"/>
            <w:shd w:val="clear" w:color="auto" w:fill="auto"/>
            <w:tcMar>
              <w:top w:w="20" w:type="dxa"/>
              <w:left w:w="20" w:type="dxa"/>
              <w:bottom w:w="0" w:type="dxa"/>
              <w:right w:w="20" w:type="dxa"/>
            </w:tcMar>
            <w:vAlign w:val="center"/>
            <w:hideMark/>
          </w:tcPr>
          <w:p w14:paraId="7B8E7362"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25.20</w:t>
            </w:r>
          </w:p>
        </w:tc>
      </w:tr>
      <w:tr w:rsidR="00FD1725" w:rsidRPr="009F1262" w14:paraId="259049F0"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0913841C" w14:textId="264E158B"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r w:rsidR="00752FA6">
              <w:rPr>
                <w:rFonts w:ascii="Arial" w:hAnsi="Arial" w:cs="Arial"/>
                <w:b/>
                <w:sz w:val="18"/>
                <w:szCs w:val="18"/>
              </w:rPr>
              <w:t xml:space="preserve"> </w:t>
            </w:r>
          </w:p>
        </w:tc>
        <w:tc>
          <w:tcPr>
            <w:tcW w:w="656" w:type="pct"/>
            <w:shd w:val="clear" w:color="auto" w:fill="auto"/>
            <w:tcMar>
              <w:top w:w="20" w:type="dxa"/>
              <w:left w:w="20" w:type="dxa"/>
              <w:bottom w:w="0" w:type="dxa"/>
              <w:right w:w="20" w:type="dxa"/>
            </w:tcMar>
            <w:vAlign w:val="center"/>
            <w:hideMark/>
          </w:tcPr>
          <w:p w14:paraId="4CBFD6E0" w14:textId="1C9D3423"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Barbour</w:t>
            </w:r>
          </w:p>
        </w:tc>
        <w:tc>
          <w:tcPr>
            <w:tcW w:w="376" w:type="pct"/>
            <w:shd w:val="clear" w:color="auto" w:fill="auto"/>
            <w:tcMar>
              <w:top w:w="20" w:type="dxa"/>
              <w:left w:w="20" w:type="dxa"/>
              <w:bottom w:w="0" w:type="dxa"/>
              <w:right w:w="20" w:type="dxa"/>
            </w:tcMar>
            <w:vAlign w:val="center"/>
            <w:hideMark/>
          </w:tcPr>
          <w:p w14:paraId="76A32BC2"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19.00</w:t>
            </w:r>
          </w:p>
        </w:tc>
        <w:tc>
          <w:tcPr>
            <w:tcW w:w="516" w:type="pct"/>
            <w:shd w:val="clear" w:color="auto" w:fill="auto"/>
            <w:tcMar>
              <w:top w:w="20" w:type="dxa"/>
              <w:left w:w="20" w:type="dxa"/>
              <w:bottom w:w="0" w:type="dxa"/>
              <w:right w:w="20" w:type="dxa"/>
            </w:tcMar>
            <w:vAlign w:val="center"/>
            <w:hideMark/>
          </w:tcPr>
          <w:p w14:paraId="6CD2B041"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1.86</w:t>
            </w:r>
          </w:p>
        </w:tc>
        <w:tc>
          <w:tcPr>
            <w:tcW w:w="515" w:type="pct"/>
            <w:shd w:val="clear" w:color="auto" w:fill="auto"/>
            <w:tcMar>
              <w:top w:w="20" w:type="dxa"/>
              <w:left w:w="20" w:type="dxa"/>
              <w:bottom w:w="0" w:type="dxa"/>
              <w:right w:w="20" w:type="dxa"/>
            </w:tcMar>
            <w:vAlign w:val="center"/>
            <w:hideMark/>
          </w:tcPr>
          <w:p w14:paraId="69C09456"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7.50</w:t>
            </w:r>
          </w:p>
        </w:tc>
        <w:tc>
          <w:tcPr>
            <w:tcW w:w="611" w:type="pct"/>
            <w:shd w:val="clear" w:color="auto" w:fill="auto"/>
            <w:tcMar>
              <w:top w:w="20" w:type="dxa"/>
              <w:left w:w="20" w:type="dxa"/>
              <w:bottom w:w="0" w:type="dxa"/>
              <w:right w:w="20" w:type="dxa"/>
            </w:tcMar>
            <w:vAlign w:val="center"/>
            <w:hideMark/>
          </w:tcPr>
          <w:p w14:paraId="1C07A8A5"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46.96</w:t>
            </w:r>
          </w:p>
        </w:tc>
        <w:tc>
          <w:tcPr>
            <w:tcW w:w="375" w:type="pct"/>
            <w:shd w:val="clear" w:color="auto" w:fill="auto"/>
            <w:tcMar>
              <w:top w:w="20" w:type="dxa"/>
              <w:left w:w="20" w:type="dxa"/>
              <w:bottom w:w="0" w:type="dxa"/>
              <w:right w:w="20" w:type="dxa"/>
            </w:tcMar>
            <w:vAlign w:val="center"/>
            <w:hideMark/>
          </w:tcPr>
          <w:p w14:paraId="6CDD9004"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1.14</w:t>
            </w:r>
          </w:p>
        </w:tc>
        <w:tc>
          <w:tcPr>
            <w:tcW w:w="469" w:type="pct"/>
            <w:shd w:val="clear" w:color="auto" w:fill="auto"/>
            <w:tcMar>
              <w:top w:w="20" w:type="dxa"/>
              <w:left w:w="20" w:type="dxa"/>
              <w:bottom w:w="0" w:type="dxa"/>
              <w:right w:w="20" w:type="dxa"/>
            </w:tcMar>
            <w:vAlign w:val="center"/>
            <w:hideMark/>
          </w:tcPr>
          <w:p w14:paraId="0AEACDA3"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2.59</w:t>
            </w:r>
          </w:p>
        </w:tc>
        <w:tc>
          <w:tcPr>
            <w:tcW w:w="425" w:type="pct"/>
            <w:shd w:val="clear" w:color="auto" w:fill="auto"/>
            <w:tcMar>
              <w:top w:w="20" w:type="dxa"/>
              <w:left w:w="20" w:type="dxa"/>
              <w:bottom w:w="0" w:type="dxa"/>
              <w:right w:w="20" w:type="dxa"/>
            </w:tcMar>
            <w:vAlign w:val="center"/>
            <w:hideMark/>
          </w:tcPr>
          <w:p w14:paraId="6CDF9425"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5.28</w:t>
            </w:r>
          </w:p>
        </w:tc>
        <w:tc>
          <w:tcPr>
            <w:tcW w:w="573" w:type="pct"/>
            <w:shd w:val="clear" w:color="auto" w:fill="auto"/>
            <w:tcMar>
              <w:top w:w="20" w:type="dxa"/>
              <w:left w:w="20" w:type="dxa"/>
              <w:bottom w:w="0" w:type="dxa"/>
              <w:right w:w="20" w:type="dxa"/>
            </w:tcMar>
            <w:vAlign w:val="center"/>
            <w:hideMark/>
          </w:tcPr>
          <w:p w14:paraId="5843368B"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2.01</w:t>
            </w:r>
          </w:p>
        </w:tc>
      </w:tr>
      <w:tr w:rsidR="00FD1725" w:rsidRPr="009F1262" w14:paraId="5A54B3A0"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2B71550E"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35D8BDE6" w14:textId="55E5F6DC"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Bibb</w:t>
            </w:r>
          </w:p>
        </w:tc>
        <w:tc>
          <w:tcPr>
            <w:tcW w:w="376" w:type="pct"/>
            <w:shd w:val="clear" w:color="auto" w:fill="auto"/>
            <w:tcMar>
              <w:top w:w="20" w:type="dxa"/>
              <w:left w:w="20" w:type="dxa"/>
              <w:bottom w:w="0" w:type="dxa"/>
              <w:right w:w="20" w:type="dxa"/>
            </w:tcMar>
            <w:vAlign w:val="center"/>
            <w:hideMark/>
          </w:tcPr>
          <w:p w14:paraId="56F9E2C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9.26</w:t>
            </w:r>
          </w:p>
        </w:tc>
        <w:tc>
          <w:tcPr>
            <w:tcW w:w="516" w:type="pct"/>
            <w:shd w:val="clear" w:color="auto" w:fill="auto"/>
            <w:tcMar>
              <w:top w:w="20" w:type="dxa"/>
              <w:left w:w="20" w:type="dxa"/>
              <w:bottom w:w="0" w:type="dxa"/>
              <w:right w:w="20" w:type="dxa"/>
            </w:tcMar>
            <w:vAlign w:val="center"/>
            <w:hideMark/>
          </w:tcPr>
          <w:p w14:paraId="4B7E4F1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0.71</w:t>
            </w:r>
          </w:p>
        </w:tc>
        <w:tc>
          <w:tcPr>
            <w:tcW w:w="515" w:type="pct"/>
            <w:shd w:val="clear" w:color="auto" w:fill="auto"/>
            <w:tcMar>
              <w:top w:w="20" w:type="dxa"/>
              <w:left w:w="20" w:type="dxa"/>
              <w:bottom w:w="0" w:type="dxa"/>
              <w:right w:w="20" w:type="dxa"/>
            </w:tcMar>
            <w:vAlign w:val="center"/>
            <w:hideMark/>
          </w:tcPr>
          <w:p w14:paraId="47AD6B9E"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3.86</w:t>
            </w:r>
          </w:p>
        </w:tc>
        <w:tc>
          <w:tcPr>
            <w:tcW w:w="611" w:type="pct"/>
            <w:shd w:val="clear" w:color="auto" w:fill="auto"/>
            <w:tcMar>
              <w:top w:w="20" w:type="dxa"/>
              <w:left w:w="20" w:type="dxa"/>
              <w:bottom w:w="0" w:type="dxa"/>
              <w:right w:w="20" w:type="dxa"/>
            </w:tcMar>
            <w:vAlign w:val="center"/>
            <w:hideMark/>
          </w:tcPr>
          <w:p w14:paraId="630657B3"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26.98</w:t>
            </w:r>
          </w:p>
        </w:tc>
        <w:tc>
          <w:tcPr>
            <w:tcW w:w="375" w:type="pct"/>
            <w:shd w:val="clear" w:color="auto" w:fill="auto"/>
            <w:tcMar>
              <w:top w:w="20" w:type="dxa"/>
              <w:left w:w="20" w:type="dxa"/>
              <w:bottom w:w="0" w:type="dxa"/>
              <w:right w:w="20" w:type="dxa"/>
            </w:tcMar>
            <w:vAlign w:val="center"/>
            <w:hideMark/>
          </w:tcPr>
          <w:p w14:paraId="055F5CED"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0.51</w:t>
            </w:r>
          </w:p>
        </w:tc>
        <w:tc>
          <w:tcPr>
            <w:tcW w:w="469" w:type="pct"/>
            <w:shd w:val="clear" w:color="auto" w:fill="auto"/>
            <w:tcMar>
              <w:top w:w="20" w:type="dxa"/>
              <w:left w:w="20" w:type="dxa"/>
              <w:bottom w:w="0" w:type="dxa"/>
              <w:right w:w="20" w:type="dxa"/>
            </w:tcMar>
            <w:vAlign w:val="center"/>
            <w:hideMark/>
          </w:tcPr>
          <w:p w14:paraId="367C9CFB"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4.02</w:t>
            </w:r>
          </w:p>
        </w:tc>
        <w:tc>
          <w:tcPr>
            <w:tcW w:w="425" w:type="pct"/>
            <w:shd w:val="clear" w:color="auto" w:fill="auto"/>
            <w:tcMar>
              <w:top w:w="20" w:type="dxa"/>
              <w:left w:w="20" w:type="dxa"/>
              <w:bottom w:w="0" w:type="dxa"/>
              <w:right w:w="20" w:type="dxa"/>
            </w:tcMar>
            <w:vAlign w:val="center"/>
            <w:hideMark/>
          </w:tcPr>
          <w:p w14:paraId="659F1B74"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3.07</w:t>
            </w:r>
          </w:p>
        </w:tc>
        <w:tc>
          <w:tcPr>
            <w:tcW w:w="573" w:type="pct"/>
            <w:shd w:val="clear" w:color="auto" w:fill="auto"/>
            <w:tcMar>
              <w:top w:w="20" w:type="dxa"/>
              <w:left w:w="20" w:type="dxa"/>
              <w:bottom w:w="0" w:type="dxa"/>
              <w:right w:w="20" w:type="dxa"/>
            </w:tcMar>
            <w:vAlign w:val="center"/>
            <w:hideMark/>
          </w:tcPr>
          <w:p w14:paraId="23ED1BE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0.00</w:t>
            </w:r>
          </w:p>
        </w:tc>
      </w:tr>
      <w:tr w:rsidR="00FD1725" w:rsidRPr="009F1262" w14:paraId="1ABC95E7"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7E7BF63C"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74A25853" w14:textId="723C2F15"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Blount</w:t>
            </w:r>
          </w:p>
        </w:tc>
        <w:tc>
          <w:tcPr>
            <w:tcW w:w="376" w:type="pct"/>
            <w:shd w:val="clear" w:color="auto" w:fill="auto"/>
            <w:tcMar>
              <w:top w:w="20" w:type="dxa"/>
              <w:left w:w="20" w:type="dxa"/>
              <w:bottom w:w="0" w:type="dxa"/>
              <w:right w:w="20" w:type="dxa"/>
            </w:tcMar>
            <w:vAlign w:val="center"/>
            <w:hideMark/>
          </w:tcPr>
          <w:p w14:paraId="13236429"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23.01</w:t>
            </w:r>
          </w:p>
        </w:tc>
        <w:tc>
          <w:tcPr>
            <w:tcW w:w="516" w:type="pct"/>
            <w:shd w:val="clear" w:color="auto" w:fill="auto"/>
            <w:tcMar>
              <w:top w:w="20" w:type="dxa"/>
              <w:left w:w="20" w:type="dxa"/>
              <w:bottom w:w="0" w:type="dxa"/>
              <w:right w:w="20" w:type="dxa"/>
            </w:tcMar>
            <w:vAlign w:val="center"/>
            <w:hideMark/>
          </w:tcPr>
          <w:p w14:paraId="4FC6440C"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2.45</w:t>
            </w:r>
          </w:p>
        </w:tc>
        <w:tc>
          <w:tcPr>
            <w:tcW w:w="515" w:type="pct"/>
            <w:shd w:val="clear" w:color="auto" w:fill="auto"/>
            <w:tcMar>
              <w:top w:w="20" w:type="dxa"/>
              <w:left w:w="20" w:type="dxa"/>
              <w:bottom w:w="0" w:type="dxa"/>
              <w:right w:w="20" w:type="dxa"/>
            </w:tcMar>
            <w:vAlign w:val="center"/>
            <w:hideMark/>
          </w:tcPr>
          <w:p w14:paraId="042D6152"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9.60</w:t>
            </w:r>
          </w:p>
        </w:tc>
        <w:tc>
          <w:tcPr>
            <w:tcW w:w="611" w:type="pct"/>
            <w:shd w:val="clear" w:color="auto" w:fill="auto"/>
            <w:tcMar>
              <w:top w:w="20" w:type="dxa"/>
              <w:left w:w="20" w:type="dxa"/>
              <w:bottom w:w="0" w:type="dxa"/>
              <w:right w:w="20" w:type="dxa"/>
            </w:tcMar>
            <w:vAlign w:val="center"/>
            <w:hideMark/>
          </w:tcPr>
          <w:p w14:paraId="5BFB3BE9"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98.26</w:t>
            </w:r>
          </w:p>
        </w:tc>
        <w:tc>
          <w:tcPr>
            <w:tcW w:w="375" w:type="pct"/>
            <w:shd w:val="clear" w:color="auto" w:fill="auto"/>
            <w:tcMar>
              <w:top w:w="20" w:type="dxa"/>
              <w:left w:w="20" w:type="dxa"/>
              <w:bottom w:w="0" w:type="dxa"/>
              <w:right w:w="20" w:type="dxa"/>
            </w:tcMar>
            <w:vAlign w:val="center"/>
            <w:hideMark/>
          </w:tcPr>
          <w:p w14:paraId="50365187"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2.26</w:t>
            </w:r>
          </w:p>
        </w:tc>
        <w:tc>
          <w:tcPr>
            <w:tcW w:w="469" w:type="pct"/>
            <w:shd w:val="clear" w:color="auto" w:fill="auto"/>
            <w:tcMar>
              <w:top w:w="20" w:type="dxa"/>
              <w:left w:w="20" w:type="dxa"/>
              <w:bottom w:w="0" w:type="dxa"/>
              <w:right w:w="20" w:type="dxa"/>
            </w:tcMar>
            <w:vAlign w:val="center"/>
            <w:hideMark/>
          </w:tcPr>
          <w:p w14:paraId="4EE299DC"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6.48</w:t>
            </w:r>
          </w:p>
        </w:tc>
        <w:tc>
          <w:tcPr>
            <w:tcW w:w="425" w:type="pct"/>
            <w:shd w:val="clear" w:color="auto" w:fill="auto"/>
            <w:tcMar>
              <w:top w:w="20" w:type="dxa"/>
              <w:left w:w="20" w:type="dxa"/>
              <w:bottom w:w="0" w:type="dxa"/>
              <w:right w:w="20" w:type="dxa"/>
            </w:tcMar>
            <w:vAlign w:val="center"/>
            <w:hideMark/>
          </w:tcPr>
          <w:p w14:paraId="66356363"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4.48</w:t>
            </w:r>
          </w:p>
        </w:tc>
        <w:tc>
          <w:tcPr>
            <w:tcW w:w="573" w:type="pct"/>
            <w:shd w:val="clear" w:color="auto" w:fill="auto"/>
            <w:tcMar>
              <w:top w:w="20" w:type="dxa"/>
              <w:left w:w="20" w:type="dxa"/>
              <w:bottom w:w="0" w:type="dxa"/>
              <w:right w:w="20" w:type="dxa"/>
            </w:tcMar>
            <w:vAlign w:val="center"/>
            <w:hideMark/>
          </w:tcPr>
          <w:p w14:paraId="2932BE55"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0.43</w:t>
            </w:r>
          </w:p>
        </w:tc>
      </w:tr>
      <w:tr w:rsidR="00FD1725" w:rsidRPr="009F1262" w14:paraId="57C3D9F1"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4FCF7C49"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65DFCD4A" w14:textId="09E73EAE"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Bullock</w:t>
            </w:r>
          </w:p>
        </w:tc>
        <w:tc>
          <w:tcPr>
            <w:tcW w:w="376" w:type="pct"/>
            <w:shd w:val="clear" w:color="auto" w:fill="auto"/>
            <w:tcMar>
              <w:top w:w="20" w:type="dxa"/>
              <w:left w:w="20" w:type="dxa"/>
              <w:bottom w:w="0" w:type="dxa"/>
              <w:right w:w="20" w:type="dxa"/>
            </w:tcMar>
            <w:vAlign w:val="center"/>
            <w:hideMark/>
          </w:tcPr>
          <w:p w14:paraId="55D388BE"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3.33</w:t>
            </w:r>
          </w:p>
        </w:tc>
        <w:tc>
          <w:tcPr>
            <w:tcW w:w="516" w:type="pct"/>
            <w:shd w:val="clear" w:color="auto" w:fill="auto"/>
            <w:tcMar>
              <w:top w:w="20" w:type="dxa"/>
              <w:left w:w="20" w:type="dxa"/>
              <w:bottom w:w="0" w:type="dxa"/>
              <w:right w:w="20" w:type="dxa"/>
            </w:tcMar>
            <w:vAlign w:val="center"/>
            <w:hideMark/>
          </w:tcPr>
          <w:p w14:paraId="2F31BA57"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0.39</w:t>
            </w:r>
          </w:p>
        </w:tc>
        <w:tc>
          <w:tcPr>
            <w:tcW w:w="515" w:type="pct"/>
            <w:shd w:val="clear" w:color="auto" w:fill="auto"/>
            <w:tcMar>
              <w:top w:w="20" w:type="dxa"/>
              <w:left w:w="20" w:type="dxa"/>
              <w:bottom w:w="0" w:type="dxa"/>
              <w:right w:w="20" w:type="dxa"/>
            </w:tcMar>
            <w:vAlign w:val="center"/>
            <w:hideMark/>
          </w:tcPr>
          <w:p w14:paraId="21C662DD"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1.51</w:t>
            </w:r>
          </w:p>
        </w:tc>
        <w:tc>
          <w:tcPr>
            <w:tcW w:w="611" w:type="pct"/>
            <w:shd w:val="clear" w:color="auto" w:fill="auto"/>
            <w:tcMar>
              <w:top w:w="20" w:type="dxa"/>
              <w:left w:w="20" w:type="dxa"/>
              <w:bottom w:w="0" w:type="dxa"/>
              <w:right w:w="20" w:type="dxa"/>
            </w:tcMar>
            <w:vAlign w:val="center"/>
            <w:hideMark/>
          </w:tcPr>
          <w:p w14:paraId="52CB8828"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12.71</w:t>
            </w:r>
          </w:p>
        </w:tc>
        <w:tc>
          <w:tcPr>
            <w:tcW w:w="375" w:type="pct"/>
            <w:shd w:val="clear" w:color="auto" w:fill="auto"/>
            <w:tcMar>
              <w:top w:w="20" w:type="dxa"/>
              <w:left w:w="20" w:type="dxa"/>
              <w:bottom w:w="0" w:type="dxa"/>
              <w:right w:w="20" w:type="dxa"/>
            </w:tcMar>
            <w:vAlign w:val="center"/>
            <w:hideMark/>
          </w:tcPr>
          <w:p w14:paraId="6533587F"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1.09</w:t>
            </w:r>
          </w:p>
        </w:tc>
        <w:tc>
          <w:tcPr>
            <w:tcW w:w="469" w:type="pct"/>
            <w:shd w:val="clear" w:color="auto" w:fill="auto"/>
            <w:tcMar>
              <w:top w:w="20" w:type="dxa"/>
              <w:left w:w="20" w:type="dxa"/>
              <w:bottom w:w="0" w:type="dxa"/>
              <w:right w:w="20" w:type="dxa"/>
            </w:tcMar>
            <w:vAlign w:val="center"/>
            <w:hideMark/>
          </w:tcPr>
          <w:p w14:paraId="7DD6E48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0.00</w:t>
            </w:r>
          </w:p>
        </w:tc>
        <w:tc>
          <w:tcPr>
            <w:tcW w:w="425" w:type="pct"/>
            <w:shd w:val="clear" w:color="auto" w:fill="auto"/>
            <w:tcMar>
              <w:top w:w="20" w:type="dxa"/>
              <w:left w:w="20" w:type="dxa"/>
              <w:bottom w:w="0" w:type="dxa"/>
              <w:right w:w="20" w:type="dxa"/>
            </w:tcMar>
            <w:vAlign w:val="center"/>
            <w:hideMark/>
          </w:tcPr>
          <w:p w14:paraId="380A6B42"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1.47</w:t>
            </w:r>
          </w:p>
        </w:tc>
        <w:tc>
          <w:tcPr>
            <w:tcW w:w="573" w:type="pct"/>
            <w:shd w:val="clear" w:color="auto" w:fill="auto"/>
            <w:tcMar>
              <w:top w:w="20" w:type="dxa"/>
              <w:left w:w="20" w:type="dxa"/>
              <w:bottom w:w="0" w:type="dxa"/>
              <w:right w:w="20" w:type="dxa"/>
            </w:tcMar>
            <w:vAlign w:val="center"/>
            <w:hideMark/>
          </w:tcPr>
          <w:p w14:paraId="02C196D3"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0.89</w:t>
            </w:r>
          </w:p>
        </w:tc>
      </w:tr>
      <w:tr w:rsidR="00FD1725" w:rsidRPr="009F1262" w14:paraId="5D21DDA2"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0F8CE2B9"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2AE29A77" w14:textId="075C4B0B"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Butler</w:t>
            </w:r>
          </w:p>
        </w:tc>
        <w:tc>
          <w:tcPr>
            <w:tcW w:w="376" w:type="pct"/>
            <w:shd w:val="clear" w:color="auto" w:fill="auto"/>
            <w:tcMar>
              <w:top w:w="20" w:type="dxa"/>
              <w:left w:w="20" w:type="dxa"/>
              <w:bottom w:w="0" w:type="dxa"/>
              <w:right w:w="20" w:type="dxa"/>
            </w:tcMar>
            <w:vAlign w:val="center"/>
            <w:hideMark/>
          </w:tcPr>
          <w:p w14:paraId="524C971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14.55</w:t>
            </w:r>
          </w:p>
        </w:tc>
        <w:tc>
          <w:tcPr>
            <w:tcW w:w="516" w:type="pct"/>
            <w:shd w:val="clear" w:color="auto" w:fill="auto"/>
            <w:tcMar>
              <w:top w:w="20" w:type="dxa"/>
              <w:left w:w="20" w:type="dxa"/>
              <w:bottom w:w="0" w:type="dxa"/>
              <w:right w:w="20" w:type="dxa"/>
            </w:tcMar>
            <w:vAlign w:val="center"/>
            <w:hideMark/>
          </w:tcPr>
          <w:p w14:paraId="5F4DB269"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1.07</w:t>
            </w:r>
          </w:p>
        </w:tc>
        <w:tc>
          <w:tcPr>
            <w:tcW w:w="515" w:type="pct"/>
            <w:shd w:val="clear" w:color="auto" w:fill="auto"/>
            <w:tcMar>
              <w:top w:w="20" w:type="dxa"/>
              <w:left w:w="20" w:type="dxa"/>
              <w:bottom w:w="0" w:type="dxa"/>
              <w:right w:w="20" w:type="dxa"/>
            </w:tcMar>
            <w:vAlign w:val="center"/>
            <w:hideMark/>
          </w:tcPr>
          <w:p w14:paraId="42C24A8C"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4.66</w:t>
            </w:r>
          </w:p>
        </w:tc>
        <w:tc>
          <w:tcPr>
            <w:tcW w:w="611" w:type="pct"/>
            <w:shd w:val="clear" w:color="auto" w:fill="auto"/>
            <w:tcMar>
              <w:top w:w="20" w:type="dxa"/>
              <w:left w:w="20" w:type="dxa"/>
              <w:bottom w:w="0" w:type="dxa"/>
              <w:right w:w="20" w:type="dxa"/>
            </w:tcMar>
            <w:vAlign w:val="center"/>
            <w:hideMark/>
          </w:tcPr>
          <w:p w14:paraId="32B2C5FC"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34.13</w:t>
            </w:r>
          </w:p>
        </w:tc>
        <w:tc>
          <w:tcPr>
            <w:tcW w:w="375" w:type="pct"/>
            <w:shd w:val="clear" w:color="auto" w:fill="auto"/>
            <w:tcMar>
              <w:top w:w="20" w:type="dxa"/>
              <w:left w:w="20" w:type="dxa"/>
              <w:bottom w:w="0" w:type="dxa"/>
              <w:right w:w="20" w:type="dxa"/>
            </w:tcMar>
            <w:vAlign w:val="center"/>
            <w:hideMark/>
          </w:tcPr>
          <w:p w14:paraId="0F622852"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0.63</w:t>
            </w:r>
          </w:p>
        </w:tc>
        <w:tc>
          <w:tcPr>
            <w:tcW w:w="469" w:type="pct"/>
            <w:shd w:val="clear" w:color="auto" w:fill="auto"/>
            <w:tcMar>
              <w:top w:w="20" w:type="dxa"/>
              <w:left w:w="20" w:type="dxa"/>
              <w:bottom w:w="0" w:type="dxa"/>
              <w:right w:w="20" w:type="dxa"/>
            </w:tcMar>
            <w:vAlign w:val="center"/>
            <w:hideMark/>
          </w:tcPr>
          <w:p w14:paraId="43B1881D"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6.79</w:t>
            </w:r>
          </w:p>
        </w:tc>
        <w:tc>
          <w:tcPr>
            <w:tcW w:w="425" w:type="pct"/>
            <w:shd w:val="clear" w:color="auto" w:fill="auto"/>
            <w:tcMar>
              <w:top w:w="20" w:type="dxa"/>
              <w:left w:w="20" w:type="dxa"/>
              <w:bottom w:w="0" w:type="dxa"/>
              <w:right w:w="20" w:type="dxa"/>
            </w:tcMar>
            <w:vAlign w:val="center"/>
            <w:hideMark/>
          </w:tcPr>
          <w:p w14:paraId="0CBF8E77"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2.85</w:t>
            </w:r>
          </w:p>
        </w:tc>
        <w:tc>
          <w:tcPr>
            <w:tcW w:w="573" w:type="pct"/>
            <w:shd w:val="clear" w:color="auto" w:fill="auto"/>
            <w:tcMar>
              <w:top w:w="20" w:type="dxa"/>
              <w:left w:w="20" w:type="dxa"/>
              <w:bottom w:w="0" w:type="dxa"/>
              <w:right w:w="20" w:type="dxa"/>
            </w:tcMar>
            <w:vAlign w:val="center"/>
            <w:hideMark/>
          </w:tcPr>
          <w:p w14:paraId="2BC91B1C"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0.29</w:t>
            </w:r>
          </w:p>
        </w:tc>
      </w:tr>
      <w:tr w:rsidR="00FD1725" w:rsidRPr="009F1262" w14:paraId="5904C60D"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77406F3B"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7DF83366" w14:textId="7AB79074"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Calhoun</w:t>
            </w:r>
          </w:p>
        </w:tc>
        <w:tc>
          <w:tcPr>
            <w:tcW w:w="376" w:type="pct"/>
            <w:shd w:val="clear" w:color="auto" w:fill="auto"/>
            <w:tcMar>
              <w:top w:w="20" w:type="dxa"/>
              <w:left w:w="20" w:type="dxa"/>
              <w:bottom w:w="0" w:type="dxa"/>
              <w:right w:w="20" w:type="dxa"/>
            </w:tcMar>
            <w:vAlign w:val="center"/>
            <w:hideMark/>
          </w:tcPr>
          <w:p w14:paraId="35D8D1C2"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80.94</w:t>
            </w:r>
          </w:p>
        </w:tc>
        <w:tc>
          <w:tcPr>
            <w:tcW w:w="516" w:type="pct"/>
            <w:shd w:val="clear" w:color="auto" w:fill="auto"/>
            <w:tcMar>
              <w:top w:w="20" w:type="dxa"/>
              <w:left w:w="20" w:type="dxa"/>
              <w:bottom w:w="0" w:type="dxa"/>
              <w:right w:w="20" w:type="dxa"/>
            </w:tcMar>
            <w:vAlign w:val="center"/>
            <w:hideMark/>
          </w:tcPr>
          <w:p w14:paraId="59F3C323"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10.36</w:t>
            </w:r>
          </w:p>
        </w:tc>
        <w:tc>
          <w:tcPr>
            <w:tcW w:w="515" w:type="pct"/>
            <w:shd w:val="clear" w:color="auto" w:fill="auto"/>
            <w:tcMar>
              <w:top w:w="20" w:type="dxa"/>
              <w:left w:w="20" w:type="dxa"/>
              <w:bottom w:w="0" w:type="dxa"/>
              <w:right w:w="20" w:type="dxa"/>
            </w:tcMar>
            <w:vAlign w:val="center"/>
            <w:hideMark/>
          </w:tcPr>
          <w:p w14:paraId="7791F060"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33.92</w:t>
            </w:r>
          </w:p>
        </w:tc>
        <w:tc>
          <w:tcPr>
            <w:tcW w:w="611" w:type="pct"/>
            <w:shd w:val="clear" w:color="auto" w:fill="auto"/>
            <w:tcMar>
              <w:top w:w="20" w:type="dxa"/>
              <w:left w:w="20" w:type="dxa"/>
              <w:bottom w:w="0" w:type="dxa"/>
              <w:right w:w="20" w:type="dxa"/>
            </w:tcMar>
            <w:vAlign w:val="center"/>
            <w:hideMark/>
          </w:tcPr>
          <w:p w14:paraId="34BF8AD6"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227.92</w:t>
            </w:r>
          </w:p>
        </w:tc>
        <w:tc>
          <w:tcPr>
            <w:tcW w:w="375" w:type="pct"/>
            <w:shd w:val="clear" w:color="auto" w:fill="auto"/>
            <w:tcMar>
              <w:top w:w="20" w:type="dxa"/>
              <w:left w:w="20" w:type="dxa"/>
              <w:bottom w:w="0" w:type="dxa"/>
              <w:right w:w="20" w:type="dxa"/>
            </w:tcMar>
            <w:vAlign w:val="center"/>
            <w:hideMark/>
          </w:tcPr>
          <w:p w14:paraId="333E063D"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3.45</w:t>
            </w:r>
          </w:p>
        </w:tc>
        <w:tc>
          <w:tcPr>
            <w:tcW w:w="469" w:type="pct"/>
            <w:shd w:val="clear" w:color="auto" w:fill="auto"/>
            <w:tcMar>
              <w:top w:w="20" w:type="dxa"/>
              <w:left w:w="20" w:type="dxa"/>
              <w:bottom w:w="0" w:type="dxa"/>
              <w:right w:w="20" w:type="dxa"/>
            </w:tcMar>
            <w:vAlign w:val="center"/>
            <w:hideMark/>
          </w:tcPr>
          <w:p w14:paraId="6D822B79"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17.29</w:t>
            </w:r>
          </w:p>
        </w:tc>
        <w:tc>
          <w:tcPr>
            <w:tcW w:w="425" w:type="pct"/>
            <w:shd w:val="clear" w:color="auto" w:fill="auto"/>
            <w:tcMar>
              <w:top w:w="20" w:type="dxa"/>
              <w:left w:w="20" w:type="dxa"/>
              <w:bottom w:w="0" w:type="dxa"/>
              <w:right w:w="20" w:type="dxa"/>
            </w:tcMar>
            <w:vAlign w:val="center"/>
            <w:hideMark/>
          </w:tcPr>
          <w:p w14:paraId="35CAAE94"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15.74</w:t>
            </w:r>
          </w:p>
        </w:tc>
        <w:tc>
          <w:tcPr>
            <w:tcW w:w="573" w:type="pct"/>
            <w:shd w:val="clear" w:color="auto" w:fill="auto"/>
            <w:tcMar>
              <w:top w:w="20" w:type="dxa"/>
              <w:left w:w="20" w:type="dxa"/>
              <w:bottom w:w="0" w:type="dxa"/>
              <w:right w:w="20" w:type="dxa"/>
            </w:tcMar>
            <w:vAlign w:val="center"/>
            <w:hideMark/>
          </w:tcPr>
          <w:p w14:paraId="3B9833B7"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6.60</w:t>
            </w:r>
          </w:p>
        </w:tc>
      </w:tr>
      <w:tr w:rsidR="00FD1725" w:rsidRPr="009F1262" w14:paraId="07313A5D"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272EC102"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47AF2CDD" w14:textId="6F2D9977"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Chambers</w:t>
            </w:r>
          </w:p>
        </w:tc>
        <w:tc>
          <w:tcPr>
            <w:tcW w:w="376" w:type="pct"/>
            <w:shd w:val="clear" w:color="auto" w:fill="auto"/>
            <w:tcMar>
              <w:top w:w="20" w:type="dxa"/>
              <w:left w:w="20" w:type="dxa"/>
              <w:bottom w:w="0" w:type="dxa"/>
              <w:right w:w="20" w:type="dxa"/>
            </w:tcMar>
            <w:vAlign w:val="center"/>
            <w:hideMark/>
          </w:tcPr>
          <w:p w14:paraId="2658EA89"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21.19</w:t>
            </w:r>
          </w:p>
        </w:tc>
        <w:tc>
          <w:tcPr>
            <w:tcW w:w="516" w:type="pct"/>
            <w:shd w:val="clear" w:color="auto" w:fill="auto"/>
            <w:tcMar>
              <w:top w:w="20" w:type="dxa"/>
              <w:left w:w="20" w:type="dxa"/>
              <w:bottom w:w="0" w:type="dxa"/>
              <w:right w:w="20" w:type="dxa"/>
            </w:tcMar>
            <w:vAlign w:val="center"/>
            <w:hideMark/>
          </w:tcPr>
          <w:p w14:paraId="3C2A51D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1.27</w:t>
            </w:r>
          </w:p>
        </w:tc>
        <w:tc>
          <w:tcPr>
            <w:tcW w:w="515" w:type="pct"/>
            <w:shd w:val="clear" w:color="auto" w:fill="auto"/>
            <w:tcMar>
              <w:top w:w="20" w:type="dxa"/>
              <w:left w:w="20" w:type="dxa"/>
              <w:bottom w:w="0" w:type="dxa"/>
              <w:right w:w="20" w:type="dxa"/>
            </w:tcMar>
            <w:vAlign w:val="center"/>
            <w:hideMark/>
          </w:tcPr>
          <w:p w14:paraId="3E92E7FF"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9.10</w:t>
            </w:r>
          </w:p>
        </w:tc>
        <w:tc>
          <w:tcPr>
            <w:tcW w:w="611" w:type="pct"/>
            <w:shd w:val="clear" w:color="auto" w:fill="auto"/>
            <w:tcMar>
              <w:top w:w="20" w:type="dxa"/>
              <w:left w:w="20" w:type="dxa"/>
              <w:bottom w:w="0" w:type="dxa"/>
              <w:right w:w="20" w:type="dxa"/>
            </w:tcMar>
            <w:vAlign w:val="center"/>
            <w:hideMark/>
          </w:tcPr>
          <w:p w14:paraId="24DAE646"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44.16</w:t>
            </w:r>
          </w:p>
        </w:tc>
        <w:tc>
          <w:tcPr>
            <w:tcW w:w="375" w:type="pct"/>
            <w:shd w:val="clear" w:color="auto" w:fill="auto"/>
            <w:tcMar>
              <w:top w:w="20" w:type="dxa"/>
              <w:left w:w="20" w:type="dxa"/>
              <w:bottom w:w="0" w:type="dxa"/>
              <w:right w:w="20" w:type="dxa"/>
            </w:tcMar>
            <w:vAlign w:val="center"/>
            <w:hideMark/>
          </w:tcPr>
          <w:p w14:paraId="7CC0CD97"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0.55</w:t>
            </w:r>
          </w:p>
        </w:tc>
        <w:tc>
          <w:tcPr>
            <w:tcW w:w="469" w:type="pct"/>
            <w:shd w:val="clear" w:color="auto" w:fill="auto"/>
            <w:tcMar>
              <w:top w:w="20" w:type="dxa"/>
              <w:left w:w="20" w:type="dxa"/>
              <w:bottom w:w="0" w:type="dxa"/>
              <w:right w:w="20" w:type="dxa"/>
            </w:tcMar>
            <w:vAlign w:val="center"/>
            <w:hideMark/>
          </w:tcPr>
          <w:p w14:paraId="0B9C029C"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12.43</w:t>
            </w:r>
          </w:p>
        </w:tc>
        <w:tc>
          <w:tcPr>
            <w:tcW w:w="425" w:type="pct"/>
            <w:shd w:val="clear" w:color="auto" w:fill="auto"/>
            <w:tcMar>
              <w:top w:w="20" w:type="dxa"/>
              <w:left w:w="20" w:type="dxa"/>
              <w:bottom w:w="0" w:type="dxa"/>
              <w:right w:w="20" w:type="dxa"/>
            </w:tcMar>
            <w:vAlign w:val="center"/>
            <w:hideMark/>
          </w:tcPr>
          <w:p w14:paraId="7B1CCBBF"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6.19</w:t>
            </w:r>
          </w:p>
        </w:tc>
        <w:tc>
          <w:tcPr>
            <w:tcW w:w="573" w:type="pct"/>
            <w:shd w:val="clear" w:color="auto" w:fill="auto"/>
            <w:tcMar>
              <w:top w:w="20" w:type="dxa"/>
              <w:left w:w="20" w:type="dxa"/>
              <w:bottom w:w="0" w:type="dxa"/>
              <w:right w:w="20" w:type="dxa"/>
            </w:tcMar>
            <w:vAlign w:val="center"/>
            <w:hideMark/>
          </w:tcPr>
          <w:p w14:paraId="1AC15D9E"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2.41</w:t>
            </w:r>
          </w:p>
        </w:tc>
      </w:tr>
      <w:tr w:rsidR="00FD1725" w:rsidRPr="009F1262" w14:paraId="3782CC6B"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0698AB99"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29FBCDB2" w14:textId="436556A7"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Cherokee</w:t>
            </w:r>
          </w:p>
        </w:tc>
        <w:tc>
          <w:tcPr>
            <w:tcW w:w="376" w:type="pct"/>
            <w:shd w:val="clear" w:color="auto" w:fill="auto"/>
            <w:tcMar>
              <w:top w:w="20" w:type="dxa"/>
              <w:left w:w="20" w:type="dxa"/>
              <w:bottom w:w="0" w:type="dxa"/>
              <w:right w:w="20" w:type="dxa"/>
            </w:tcMar>
            <w:vAlign w:val="center"/>
            <w:hideMark/>
          </w:tcPr>
          <w:p w14:paraId="3C0EF996"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14.91</w:t>
            </w:r>
          </w:p>
        </w:tc>
        <w:tc>
          <w:tcPr>
            <w:tcW w:w="516" w:type="pct"/>
            <w:shd w:val="clear" w:color="auto" w:fill="auto"/>
            <w:tcMar>
              <w:top w:w="20" w:type="dxa"/>
              <w:left w:w="20" w:type="dxa"/>
              <w:bottom w:w="0" w:type="dxa"/>
              <w:right w:w="20" w:type="dxa"/>
            </w:tcMar>
            <w:vAlign w:val="center"/>
            <w:hideMark/>
          </w:tcPr>
          <w:p w14:paraId="2589B3C1"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4.01</w:t>
            </w:r>
          </w:p>
        </w:tc>
        <w:tc>
          <w:tcPr>
            <w:tcW w:w="515" w:type="pct"/>
            <w:shd w:val="clear" w:color="auto" w:fill="auto"/>
            <w:tcMar>
              <w:top w:w="20" w:type="dxa"/>
              <w:left w:w="20" w:type="dxa"/>
              <w:bottom w:w="0" w:type="dxa"/>
              <w:right w:w="20" w:type="dxa"/>
            </w:tcMar>
            <w:vAlign w:val="center"/>
            <w:hideMark/>
          </w:tcPr>
          <w:p w14:paraId="2EC1B8CC"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4.85</w:t>
            </w:r>
          </w:p>
        </w:tc>
        <w:tc>
          <w:tcPr>
            <w:tcW w:w="611" w:type="pct"/>
            <w:shd w:val="clear" w:color="auto" w:fill="auto"/>
            <w:tcMar>
              <w:top w:w="20" w:type="dxa"/>
              <w:left w:w="20" w:type="dxa"/>
              <w:bottom w:w="0" w:type="dxa"/>
              <w:right w:w="20" w:type="dxa"/>
            </w:tcMar>
            <w:vAlign w:val="center"/>
            <w:hideMark/>
          </w:tcPr>
          <w:p w14:paraId="58DB411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43.20</w:t>
            </w:r>
          </w:p>
        </w:tc>
        <w:tc>
          <w:tcPr>
            <w:tcW w:w="375" w:type="pct"/>
            <w:shd w:val="clear" w:color="auto" w:fill="auto"/>
            <w:tcMar>
              <w:top w:w="20" w:type="dxa"/>
              <w:left w:w="20" w:type="dxa"/>
              <w:bottom w:w="0" w:type="dxa"/>
              <w:right w:w="20" w:type="dxa"/>
            </w:tcMar>
            <w:vAlign w:val="center"/>
            <w:hideMark/>
          </w:tcPr>
          <w:p w14:paraId="6E5D57DC"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0.82</w:t>
            </w:r>
          </w:p>
        </w:tc>
        <w:tc>
          <w:tcPr>
            <w:tcW w:w="469" w:type="pct"/>
            <w:shd w:val="clear" w:color="auto" w:fill="auto"/>
            <w:tcMar>
              <w:top w:w="20" w:type="dxa"/>
              <w:left w:w="20" w:type="dxa"/>
              <w:bottom w:w="0" w:type="dxa"/>
              <w:right w:w="20" w:type="dxa"/>
            </w:tcMar>
            <w:vAlign w:val="center"/>
            <w:hideMark/>
          </w:tcPr>
          <w:p w14:paraId="0E0095D3"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2.91</w:t>
            </w:r>
          </w:p>
        </w:tc>
        <w:tc>
          <w:tcPr>
            <w:tcW w:w="425" w:type="pct"/>
            <w:shd w:val="clear" w:color="auto" w:fill="auto"/>
            <w:tcMar>
              <w:top w:w="20" w:type="dxa"/>
              <w:left w:w="20" w:type="dxa"/>
              <w:bottom w:w="0" w:type="dxa"/>
              <w:right w:w="20" w:type="dxa"/>
            </w:tcMar>
            <w:vAlign w:val="center"/>
            <w:hideMark/>
          </w:tcPr>
          <w:p w14:paraId="47807FB7"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2.16</w:t>
            </w:r>
          </w:p>
        </w:tc>
        <w:tc>
          <w:tcPr>
            <w:tcW w:w="573" w:type="pct"/>
            <w:shd w:val="clear" w:color="auto" w:fill="auto"/>
            <w:tcMar>
              <w:top w:w="20" w:type="dxa"/>
              <w:left w:w="20" w:type="dxa"/>
              <w:bottom w:w="0" w:type="dxa"/>
              <w:right w:w="20" w:type="dxa"/>
            </w:tcMar>
            <w:vAlign w:val="center"/>
            <w:hideMark/>
          </w:tcPr>
          <w:p w14:paraId="27B074EF"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0.15</w:t>
            </w:r>
          </w:p>
        </w:tc>
      </w:tr>
      <w:tr w:rsidR="00FD1725" w:rsidRPr="009F1262" w14:paraId="20AC7FC6"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2FE8E550"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14B1E9A2" w14:textId="21BA1837"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Chilton</w:t>
            </w:r>
          </w:p>
        </w:tc>
        <w:tc>
          <w:tcPr>
            <w:tcW w:w="376" w:type="pct"/>
            <w:shd w:val="clear" w:color="auto" w:fill="auto"/>
            <w:tcMar>
              <w:top w:w="20" w:type="dxa"/>
              <w:left w:w="20" w:type="dxa"/>
              <w:bottom w:w="0" w:type="dxa"/>
              <w:right w:w="20" w:type="dxa"/>
            </w:tcMar>
            <w:vAlign w:val="center"/>
            <w:hideMark/>
          </w:tcPr>
          <w:p w14:paraId="085CAED7"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22.40</w:t>
            </w:r>
          </w:p>
        </w:tc>
        <w:tc>
          <w:tcPr>
            <w:tcW w:w="516" w:type="pct"/>
            <w:shd w:val="clear" w:color="auto" w:fill="auto"/>
            <w:tcMar>
              <w:top w:w="20" w:type="dxa"/>
              <w:left w:w="20" w:type="dxa"/>
              <w:bottom w:w="0" w:type="dxa"/>
              <w:right w:w="20" w:type="dxa"/>
            </w:tcMar>
            <w:vAlign w:val="center"/>
            <w:hideMark/>
          </w:tcPr>
          <w:p w14:paraId="66AC306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1.78</w:t>
            </w:r>
          </w:p>
        </w:tc>
        <w:tc>
          <w:tcPr>
            <w:tcW w:w="515" w:type="pct"/>
            <w:shd w:val="clear" w:color="auto" w:fill="auto"/>
            <w:tcMar>
              <w:top w:w="20" w:type="dxa"/>
              <w:left w:w="20" w:type="dxa"/>
              <w:bottom w:w="0" w:type="dxa"/>
              <w:right w:w="20" w:type="dxa"/>
            </w:tcMar>
            <w:vAlign w:val="center"/>
            <w:hideMark/>
          </w:tcPr>
          <w:p w14:paraId="76CA4931"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7.82</w:t>
            </w:r>
          </w:p>
        </w:tc>
        <w:tc>
          <w:tcPr>
            <w:tcW w:w="611" w:type="pct"/>
            <w:shd w:val="clear" w:color="auto" w:fill="auto"/>
            <w:tcMar>
              <w:top w:w="20" w:type="dxa"/>
              <w:left w:w="20" w:type="dxa"/>
              <w:bottom w:w="0" w:type="dxa"/>
              <w:right w:w="20" w:type="dxa"/>
            </w:tcMar>
            <w:vAlign w:val="center"/>
            <w:hideMark/>
          </w:tcPr>
          <w:p w14:paraId="4966D237"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51.78</w:t>
            </w:r>
          </w:p>
        </w:tc>
        <w:tc>
          <w:tcPr>
            <w:tcW w:w="375" w:type="pct"/>
            <w:shd w:val="clear" w:color="auto" w:fill="auto"/>
            <w:tcMar>
              <w:top w:w="20" w:type="dxa"/>
              <w:left w:w="20" w:type="dxa"/>
              <w:bottom w:w="0" w:type="dxa"/>
              <w:right w:w="20" w:type="dxa"/>
            </w:tcMar>
            <w:vAlign w:val="center"/>
            <w:hideMark/>
          </w:tcPr>
          <w:p w14:paraId="089B53BD"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1.01</w:t>
            </w:r>
          </w:p>
        </w:tc>
        <w:tc>
          <w:tcPr>
            <w:tcW w:w="469" w:type="pct"/>
            <w:shd w:val="clear" w:color="auto" w:fill="auto"/>
            <w:tcMar>
              <w:top w:w="20" w:type="dxa"/>
              <w:left w:w="20" w:type="dxa"/>
              <w:bottom w:w="0" w:type="dxa"/>
              <w:right w:w="20" w:type="dxa"/>
            </w:tcMar>
            <w:vAlign w:val="center"/>
            <w:hideMark/>
          </w:tcPr>
          <w:p w14:paraId="49E81F46"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0.00</w:t>
            </w:r>
          </w:p>
        </w:tc>
        <w:tc>
          <w:tcPr>
            <w:tcW w:w="425" w:type="pct"/>
            <w:shd w:val="clear" w:color="auto" w:fill="auto"/>
            <w:tcMar>
              <w:top w:w="20" w:type="dxa"/>
              <w:left w:w="20" w:type="dxa"/>
              <w:bottom w:w="0" w:type="dxa"/>
              <w:right w:w="20" w:type="dxa"/>
            </w:tcMar>
            <w:vAlign w:val="center"/>
            <w:hideMark/>
          </w:tcPr>
          <w:p w14:paraId="6904A14F"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4.29</w:t>
            </w:r>
          </w:p>
        </w:tc>
        <w:tc>
          <w:tcPr>
            <w:tcW w:w="573" w:type="pct"/>
            <w:shd w:val="clear" w:color="auto" w:fill="auto"/>
            <w:tcMar>
              <w:top w:w="20" w:type="dxa"/>
              <w:left w:w="20" w:type="dxa"/>
              <w:bottom w:w="0" w:type="dxa"/>
              <w:right w:w="20" w:type="dxa"/>
            </w:tcMar>
            <w:vAlign w:val="center"/>
            <w:hideMark/>
          </w:tcPr>
          <w:p w14:paraId="71AD4E94"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2.08</w:t>
            </w:r>
          </w:p>
        </w:tc>
      </w:tr>
      <w:tr w:rsidR="00FD1725" w:rsidRPr="009F1262" w14:paraId="2096D062"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14AE9A16"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0959F897" w14:textId="7B3FBDC2"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Choctaw</w:t>
            </w:r>
          </w:p>
        </w:tc>
        <w:tc>
          <w:tcPr>
            <w:tcW w:w="376" w:type="pct"/>
            <w:shd w:val="clear" w:color="auto" w:fill="auto"/>
            <w:tcMar>
              <w:top w:w="20" w:type="dxa"/>
              <w:left w:w="20" w:type="dxa"/>
              <w:bottom w:w="0" w:type="dxa"/>
              <w:right w:w="20" w:type="dxa"/>
            </w:tcMar>
            <w:vAlign w:val="center"/>
            <w:hideMark/>
          </w:tcPr>
          <w:p w14:paraId="5BA26DF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8.38</w:t>
            </w:r>
          </w:p>
        </w:tc>
        <w:tc>
          <w:tcPr>
            <w:tcW w:w="516" w:type="pct"/>
            <w:shd w:val="clear" w:color="auto" w:fill="auto"/>
            <w:tcMar>
              <w:top w:w="20" w:type="dxa"/>
              <w:left w:w="20" w:type="dxa"/>
              <w:bottom w:w="0" w:type="dxa"/>
              <w:right w:w="20" w:type="dxa"/>
            </w:tcMar>
            <w:vAlign w:val="center"/>
            <w:hideMark/>
          </w:tcPr>
          <w:p w14:paraId="016207B6"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1.35</w:t>
            </w:r>
          </w:p>
        </w:tc>
        <w:tc>
          <w:tcPr>
            <w:tcW w:w="515" w:type="pct"/>
            <w:shd w:val="clear" w:color="auto" w:fill="auto"/>
            <w:tcMar>
              <w:top w:w="20" w:type="dxa"/>
              <w:left w:w="20" w:type="dxa"/>
              <w:bottom w:w="0" w:type="dxa"/>
              <w:right w:w="20" w:type="dxa"/>
            </w:tcMar>
            <w:vAlign w:val="center"/>
            <w:hideMark/>
          </w:tcPr>
          <w:p w14:paraId="28CE7635"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3.08</w:t>
            </w:r>
          </w:p>
        </w:tc>
        <w:tc>
          <w:tcPr>
            <w:tcW w:w="611" w:type="pct"/>
            <w:shd w:val="clear" w:color="auto" w:fill="auto"/>
            <w:tcMar>
              <w:top w:w="20" w:type="dxa"/>
              <w:left w:w="20" w:type="dxa"/>
              <w:bottom w:w="0" w:type="dxa"/>
              <w:right w:w="20" w:type="dxa"/>
            </w:tcMar>
            <w:vAlign w:val="center"/>
            <w:hideMark/>
          </w:tcPr>
          <w:p w14:paraId="1399A5B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17.77</w:t>
            </w:r>
          </w:p>
        </w:tc>
        <w:tc>
          <w:tcPr>
            <w:tcW w:w="375" w:type="pct"/>
            <w:shd w:val="clear" w:color="auto" w:fill="auto"/>
            <w:tcMar>
              <w:top w:w="20" w:type="dxa"/>
              <w:left w:w="20" w:type="dxa"/>
              <w:bottom w:w="0" w:type="dxa"/>
              <w:right w:w="20" w:type="dxa"/>
            </w:tcMar>
            <w:vAlign w:val="center"/>
            <w:hideMark/>
          </w:tcPr>
          <w:p w14:paraId="087780B7"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0.53</w:t>
            </w:r>
          </w:p>
        </w:tc>
        <w:tc>
          <w:tcPr>
            <w:tcW w:w="469" w:type="pct"/>
            <w:shd w:val="clear" w:color="auto" w:fill="auto"/>
            <w:tcMar>
              <w:top w:w="20" w:type="dxa"/>
              <w:left w:w="20" w:type="dxa"/>
              <w:bottom w:w="0" w:type="dxa"/>
              <w:right w:w="20" w:type="dxa"/>
            </w:tcMar>
            <w:vAlign w:val="center"/>
            <w:hideMark/>
          </w:tcPr>
          <w:p w14:paraId="6B91A7C9"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0.50</w:t>
            </w:r>
          </w:p>
        </w:tc>
        <w:tc>
          <w:tcPr>
            <w:tcW w:w="425" w:type="pct"/>
            <w:shd w:val="clear" w:color="auto" w:fill="auto"/>
            <w:tcMar>
              <w:top w:w="20" w:type="dxa"/>
              <w:left w:w="20" w:type="dxa"/>
              <w:bottom w:w="0" w:type="dxa"/>
              <w:right w:w="20" w:type="dxa"/>
            </w:tcMar>
            <w:vAlign w:val="center"/>
            <w:hideMark/>
          </w:tcPr>
          <w:p w14:paraId="4DDEAE29"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2.33</w:t>
            </w:r>
          </w:p>
        </w:tc>
        <w:tc>
          <w:tcPr>
            <w:tcW w:w="573" w:type="pct"/>
            <w:shd w:val="clear" w:color="auto" w:fill="auto"/>
            <w:tcMar>
              <w:top w:w="20" w:type="dxa"/>
              <w:left w:w="20" w:type="dxa"/>
              <w:bottom w:w="0" w:type="dxa"/>
              <w:right w:w="20" w:type="dxa"/>
            </w:tcMar>
            <w:vAlign w:val="center"/>
            <w:hideMark/>
          </w:tcPr>
          <w:p w14:paraId="72CC3EEC"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0.79</w:t>
            </w:r>
          </w:p>
        </w:tc>
      </w:tr>
      <w:tr w:rsidR="00FD1725" w:rsidRPr="009F1262" w14:paraId="2125A1C4"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54C501C3"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24E17E97" w14:textId="575FBC21"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Clarke</w:t>
            </w:r>
          </w:p>
        </w:tc>
        <w:tc>
          <w:tcPr>
            <w:tcW w:w="376" w:type="pct"/>
            <w:shd w:val="clear" w:color="auto" w:fill="auto"/>
            <w:tcMar>
              <w:top w:w="20" w:type="dxa"/>
              <w:left w:w="20" w:type="dxa"/>
              <w:bottom w:w="0" w:type="dxa"/>
              <w:right w:w="20" w:type="dxa"/>
            </w:tcMar>
            <w:vAlign w:val="center"/>
            <w:hideMark/>
          </w:tcPr>
          <w:p w14:paraId="79C23E25"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23.93</w:t>
            </w:r>
          </w:p>
        </w:tc>
        <w:tc>
          <w:tcPr>
            <w:tcW w:w="516" w:type="pct"/>
            <w:shd w:val="clear" w:color="auto" w:fill="auto"/>
            <w:tcMar>
              <w:top w:w="20" w:type="dxa"/>
              <w:left w:w="20" w:type="dxa"/>
              <w:bottom w:w="0" w:type="dxa"/>
              <w:right w:w="20" w:type="dxa"/>
            </w:tcMar>
            <w:vAlign w:val="center"/>
            <w:hideMark/>
          </w:tcPr>
          <w:p w14:paraId="2BD702BC"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1.14</w:t>
            </w:r>
          </w:p>
        </w:tc>
        <w:tc>
          <w:tcPr>
            <w:tcW w:w="515" w:type="pct"/>
            <w:shd w:val="clear" w:color="auto" w:fill="auto"/>
            <w:tcMar>
              <w:top w:w="20" w:type="dxa"/>
              <w:left w:w="20" w:type="dxa"/>
              <w:bottom w:w="0" w:type="dxa"/>
              <w:right w:w="20" w:type="dxa"/>
            </w:tcMar>
            <w:vAlign w:val="center"/>
            <w:hideMark/>
          </w:tcPr>
          <w:p w14:paraId="7290B259"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11.64</w:t>
            </w:r>
          </w:p>
        </w:tc>
        <w:tc>
          <w:tcPr>
            <w:tcW w:w="611" w:type="pct"/>
            <w:shd w:val="clear" w:color="auto" w:fill="auto"/>
            <w:tcMar>
              <w:top w:w="20" w:type="dxa"/>
              <w:left w:w="20" w:type="dxa"/>
              <w:bottom w:w="0" w:type="dxa"/>
              <w:right w:w="20" w:type="dxa"/>
            </w:tcMar>
            <w:vAlign w:val="center"/>
            <w:hideMark/>
          </w:tcPr>
          <w:p w14:paraId="3416E82F"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40.30</w:t>
            </w:r>
          </w:p>
        </w:tc>
        <w:tc>
          <w:tcPr>
            <w:tcW w:w="375" w:type="pct"/>
            <w:shd w:val="clear" w:color="auto" w:fill="auto"/>
            <w:tcMar>
              <w:top w:w="20" w:type="dxa"/>
              <w:left w:w="20" w:type="dxa"/>
              <w:bottom w:w="0" w:type="dxa"/>
              <w:right w:w="20" w:type="dxa"/>
            </w:tcMar>
            <w:vAlign w:val="center"/>
            <w:hideMark/>
          </w:tcPr>
          <w:p w14:paraId="6DD6239F"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0.74</w:t>
            </w:r>
          </w:p>
        </w:tc>
        <w:tc>
          <w:tcPr>
            <w:tcW w:w="469" w:type="pct"/>
            <w:shd w:val="clear" w:color="auto" w:fill="auto"/>
            <w:tcMar>
              <w:top w:w="20" w:type="dxa"/>
              <w:left w:w="20" w:type="dxa"/>
              <w:bottom w:w="0" w:type="dxa"/>
              <w:right w:w="20" w:type="dxa"/>
            </w:tcMar>
            <w:vAlign w:val="center"/>
            <w:hideMark/>
          </w:tcPr>
          <w:p w14:paraId="4B216EB7"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1.61</w:t>
            </w:r>
          </w:p>
        </w:tc>
        <w:tc>
          <w:tcPr>
            <w:tcW w:w="425" w:type="pct"/>
            <w:shd w:val="clear" w:color="auto" w:fill="auto"/>
            <w:tcMar>
              <w:top w:w="20" w:type="dxa"/>
              <w:left w:w="20" w:type="dxa"/>
              <w:bottom w:w="0" w:type="dxa"/>
              <w:right w:w="20" w:type="dxa"/>
            </w:tcMar>
            <w:vAlign w:val="center"/>
            <w:hideMark/>
          </w:tcPr>
          <w:p w14:paraId="5CA1484E"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5.99</w:t>
            </w:r>
          </w:p>
        </w:tc>
        <w:tc>
          <w:tcPr>
            <w:tcW w:w="573" w:type="pct"/>
            <w:shd w:val="clear" w:color="auto" w:fill="auto"/>
            <w:tcMar>
              <w:top w:w="20" w:type="dxa"/>
              <w:left w:w="20" w:type="dxa"/>
              <w:bottom w:w="0" w:type="dxa"/>
              <w:right w:w="20" w:type="dxa"/>
            </w:tcMar>
            <w:vAlign w:val="center"/>
            <w:hideMark/>
          </w:tcPr>
          <w:p w14:paraId="325FD2C5"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2.18</w:t>
            </w:r>
          </w:p>
        </w:tc>
      </w:tr>
      <w:tr w:rsidR="00FD1725" w:rsidRPr="009F1262" w14:paraId="74F0A118"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3BBB99A5"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270226AF" w14:textId="0EC1132F"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Clay</w:t>
            </w:r>
          </w:p>
        </w:tc>
        <w:tc>
          <w:tcPr>
            <w:tcW w:w="376" w:type="pct"/>
            <w:shd w:val="clear" w:color="auto" w:fill="auto"/>
            <w:tcMar>
              <w:top w:w="20" w:type="dxa"/>
              <w:left w:w="20" w:type="dxa"/>
              <w:bottom w:w="0" w:type="dxa"/>
              <w:right w:w="20" w:type="dxa"/>
            </w:tcMar>
            <w:vAlign w:val="center"/>
            <w:hideMark/>
          </w:tcPr>
          <w:p w14:paraId="1892D5F4"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7.45</w:t>
            </w:r>
          </w:p>
        </w:tc>
        <w:tc>
          <w:tcPr>
            <w:tcW w:w="516" w:type="pct"/>
            <w:shd w:val="clear" w:color="auto" w:fill="auto"/>
            <w:tcMar>
              <w:top w:w="20" w:type="dxa"/>
              <w:left w:w="20" w:type="dxa"/>
              <w:bottom w:w="0" w:type="dxa"/>
              <w:right w:w="20" w:type="dxa"/>
            </w:tcMar>
            <w:vAlign w:val="center"/>
            <w:hideMark/>
          </w:tcPr>
          <w:p w14:paraId="5426A4F7"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0.34</w:t>
            </w:r>
          </w:p>
        </w:tc>
        <w:tc>
          <w:tcPr>
            <w:tcW w:w="515" w:type="pct"/>
            <w:shd w:val="clear" w:color="auto" w:fill="auto"/>
            <w:tcMar>
              <w:top w:w="20" w:type="dxa"/>
              <w:left w:w="20" w:type="dxa"/>
              <w:bottom w:w="0" w:type="dxa"/>
              <w:right w:w="20" w:type="dxa"/>
            </w:tcMar>
            <w:vAlign w:val="center"/>
            <w:hideMark/>
          </w:tcPr>
          <w:p w14:paraId="699381D4"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2.62</w:t>
            </w:r>
          </w:p>
        </w:tc>
        <w:tc>
          <w:tcPr>
            <w:tcW w:w="611" w:type="pct"/>
            <w:shd w:val="clear" w:color="auto" w:fill="auto"/>
            <w:tcMar>
              <w:top w:w="20" w:type="dxa"/>
              <w:left w:w="20" w:type="dxa"/>
              <w:bottom w:w="0" w:type="dxa"/>
              <w:right w:w="20" w:type="dxa"/>
            </w:tcMar>
            <w:vAlign w:val="center"/>
            <w:hideMark/>
          </w:tcPr>
          <w:p w14:paraId="5AE883A5"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14.85</w:t>
            </w:r>
          </w:p>
        </w:tc>
        <w:tc>
          <w:tcPr>
            <w:tcW w:w="375" w:type="pct"/>
            <w:shd w:val="clear" w:color="auto" w:fill="auto"/>
            <w:tcMar>
              <w:top w:w="20" w:type="dxa"/>
              <w:left w:w="20" w:type="dxa"/>
              <w:bottom w:w="0" w:type="dxa"/>
              <w:right w:w="20" w:type="dxa"/>
            </w:tcMar>
            <w:vAlign w:val="center"/>
            <w:hideMark/>
          </w:tcPr>
          <w:p w14:paraId="250F44C8"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0.39</w:t>
            </w:r>
          </w:p>
        </w:tc>
        <w:tc>
          <w:tcPr>
            <w:tcW w:w="469" w:type="pct"/>
            <w:shd w:val="clear" w:color="auto" w:fill="auto"/>
            <w:tcMar>
              <w:top w:w="20" w:type="dxa"/>
              <w:left w:w="20" w:type="dxa"/>
              <w:bottom w:w="0" w:type="dxa"/>
              <w:right w:w="20" w:type="dxa"/>
            </w:tcMar>
            <w:vAlign w:val="center"/>
            <w:hideMark/>
          </w:tcPr>
          <w:p w14:paraId="55CE7F73"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3.76</w:t>
            </w:r>
          </w:p>
        </w:tc>
        <w:tc>
          <w:tcPr>
            <w:tcW w:w="425" w:type="pct"/>
            <w:shd w:val="clear" w:color="auto" w:fill="auto"/>
            <w:tcMar>
              <w:top w:w="20" w:type="dxa"/>
              <w:left w:w="20" w:type="dxa"/>
              <w:bottom w:w="0" w:type="dxa"/>
              <w:right w:w="20" w:type="dxa"/>
            </w:tcMar>
            <w:vAlign w:val="center"/>
            <w:hideMark/>
          </w:tcPr>
          <w:p w14:paraId="6DFC53F6"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2.04</w:t>
            </w:r>
          </w:p>
        </w:tc>
        <w:tc>
          <w:tcPr>
            <w:tcW w:w="573" w:type="pct"/>
            <w:shd w:val="clear" w:color="auto" w:fill="auto"/>
            <w:tcMar>
              <w:top w:w="20" w:type="dxa"/>
              <w:left w:w="20" w:type="dxa"/>
              <w:bottom w:w="0" w:type="dxa"/>
              <w:right w:w="20" w:type="dxa"/>
            </w:tcMar>
            <w:vAlign w:val="center"/>
            <w:hideMark/>
          </w:tcPr>
          <w:p w14:paraId="042E07DF"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0.36</w:t>
            </w:r>
          </w:p>
        </w:tc>
      </w:tr>
      <w:tr w:rsidR="00FD1725" w:rsidRPr="009F1262" w14:paraId="1C16E86D" w14:textId="77777777" w:rsidTr="00A15D31">
        <w:trPr>
          <w:trHeight w:val="288"/>
          <w:jc w:val="center"/>
        </w:trPr>
        <w:tc>
          <w:tcPr>
            <w:tcW w:w="484" w:type="pct"/>
            <w:shd w:val="clear" w:color="auto" w:fill="auto"/>
            <w:tcMar>
              <w:top w:w="20" w:type="dxa"/>
              <w:left w:w="20" w:type="dxa"/>
              <w:bottom w:w="0" w:type="dxa"/>
              <w:right w:w="20" w:type="dxa"/>
            </w:tcMar>
            <w:vAlign w:val="center"/>
            <w:hideMark/>
          </w:tcPr>
          <w:p w14:paraId="4E610091" w14:textId="77777777" w:rsidR="00FD1725" w:rsidRPr="009F1262" w:rsidRDefault="00FD1725" w:rsidP="00820B5E">
            <w:pPr>
              <w:rPr>
                <w:rFonts w:ascii="Arial" w:hAnsi="Arial" w:cs="Arial"/>
                <w:b/>
                <w:sz w:val="18"/>
                <w:szCs w:val="18"/>
              </w:rPr>
            </w:pPr>
            <w:r>
              <w:rPr>
                <w:rFonts w:ascii="Arial" w:hAnsi="Arial" w:cs="Arial"/>
                <w:b/>
                <w:sz w:val="18"/>
                <w:szCs w:val="18"/>
              </w:rPr>
              <w:t xml:space="preserve"> </w:t>
            </w:r>
            <w:r w:rsidRPr="009F1262">
              <w:rPr>
                <w:rFonts w:ascii="Arial" w:hAnsi="Arial" w:cs="Arial"/>
                <w:b/>
                <w:sz w:val="18"/>
                <w:szCs w:val="18"/>
              </w:rPr>
              <w:t>Alabama</w:t>
            </w:r>
          </w:p>
        </w:tc>
        <w:tc>
          <w:tcPr>
            <w:tcW w:w="656" w:type="pct"/>
            <w:shd w:val="clear" w:color="auto" w:fill="auto"/>
            <w:tcMar>
              <w:top w:w="20" w:type="dxa"/>
              <w:left w:w="20" w:type="dxa"/>
              <w:bottom w:w="0" w:type="dxa"/>
              <w:right w:w="20" w:type="dxa"/>
            </w:tcMar>
            <w:vAlign w:val="center"/>
            <w:hideMark/>
          </w:tcPr>
          <w:p w14:paraId="7A5F9569" w14:textId="2009B9B5" w:rsidR="00FD1725" w:rsidRPr="009F1262" w:rsidRDefault="00752FA6" w:rsidP="00820B5E">
            <w:pPr>
              <w:rPr>
                <w:rFonts w:ascii="Arial" w:hAnsi="Arial" w:cs="Arial"/>
                <w:b/>
                <w:sz w:val="18"/>
                <w:szCs w:val="18"/>
              </w:rPr>
            </w:pPr>
            <w:r>
              <w:rPr>
                <w:rFonts w:ascii="Arial" w:hAnsi="Arial" w:cs="Arial"/>
                <w:b/>
                <w:sz w:val="18"/>
                <w:szCs w:val="18"/>
              </w:rPr>
              <w:t xml:space="preserve"> </w:t>
            </w:r>
            <w:r w:rsidR="00FD1725" w:rsidRPr="009F1262">
              <w:rPr>
                <w:rFonts w:ascii="Arial" w:hAnsi="Arial" w:cs="Arial"/>
                <w:b/>
                <w:sz w:val="18"/>
                <w:szCs w:val="18"/>
              </w:rPr>
              <w:t>Cleburne</w:t>
            </w:r>
          </w:p>
        </w:tc>
        <w:tc>
          <w:tcPr>
            <w:tcW w:w="376" w:type="pct"/>
            <w:shd w:val="clear" w:color="auto" w:fill="auto"/>
            <w:tcMar>
              <w:top w:w="20" w:type="dxa"/>
              <w:left w:w="20" w:type="dxa"/>
              <w:bottom w:w="0" w:type="dxa"/>
              <w:right w:w="20" w:type="dxa"/>
            </w:tcMar>
            <w:vAlign w:val="center"/>
            <w:hideMark/>
          </w:tcPr>
          <w:p w14:paraId="3FF3DC13"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6.39</w:t>
            </w:r>
          </w:p>
        </w:tc>
        <w:tc>
          <w:tcPr>
            <w:tcW w:w="516" w:type="pct"/>
            <w:shd w:val="clear" w:color="auto" w:fill="auto"/>
            <w:tcMar>
              <w:top w:w="20" w:type="dxa"/>
              <w:left w:w="20" w:type="dxa"/>
              <w:bottom w:w="0" w:type="dxa"/>
              <w:right w:w="20" w:type="dxa"/>
            </w:tcMar>
            <w:vAlign w:val="center"/>
            <w:hideMark/>
          </w:tcPr>
          <w:p w14:paraId="094E935B"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0.33</w:t>
            </w:r>
          </w:p>
        </w:tc>
        <w:tc>
          <w:tcPr>
            <w:tcW w:w="515" w:type="pct"/>
            <w:shd w:val="clear" w:color="auto" w:fill="auto"/>
            <w:tcMar>
              <w:top w:w="20" w:type="dxa"/>
              <w:left w:w="20" w:type="dxa"/>
              <w:bottom w:w="0" w:type="dxa"/>
              <w:right w:w="20" w:type="dxa"/>
            </w:tcMar>
            <w:vAlign w:val="center"/>
            <w:hideMark/>
          </w:tcPr>
          <w:p w14:paraId="2677C45B"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2.71</w:t>
            </w:r>
          </w:p>
        </w:tc>
        <w:tc>
          <w:tcPr>
            <w:tcW w:w="611" w:type="pct"/>
            <w:shd w:val="clear" w:color="auto" w:fill="auto"/>
            <w:tcMar>
              <w:top w:w="20" w:type="dxa"/>
              <w:left w:w="20" w:type="dxa"/>
              <w:bottom w:w="0" w:type="dxa"/>
              <w:right w:w="20" w:type="dxa"/>
            </w:tcMar>
            <w:vAlign w:val="center"/>
            <w:hideMark/>
          </w:tcPr>
          <w:p w14:paraId="5BB496AC"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9.14</w:t>
            </w:r>
          </w:p>
        </w:tc>
        <w:tc>
          <w:tcPr>
            <w:tcW w:w="375" w:type="pct"/>
            <w:shd w:val="clear" w:color="auto" w:fill="auto"/>
            <w:tcMar>
              <w:top w:w="20" w:type="dxa"/>
              <w:left w:w="20" w:type="dxa"/>
              <w:bottom w:w="0" w:type="dxa"/>
              <w:right w:w="20" w:type="dxa"/>
            </w:tcMar>
            <w:vAlign w:val="center"/>
            <w:hideMark/>
          </w:tcPr>
          <w:p w14:paraId="3A05267E"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0.32</w:t>
            </w:r>
          </w:p>
        </w:tc>
        <w:tc>
          <w:tcPr>
            <w:tcW w:w="469" w:type="pct"/>
            <w:shd w:val="clear" w:color="auto" w:fill="auto"/>
            <w:tcMar>
              <w:top w:w="20" w:type="dxa"/>
              <w:left w:w="20" w:type="dxa"/>
              <w:bottom w:w="0" w:type="dxa"/>
              <w:right w:w="20" w:type="dxa"/>
            </w:tcMar>
            <w:vAlign w:val="center"/>
            <w:hideMark/>
          </w:tcPr>
          <w:p w14:paraId="72A279BA"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0.25</w:t>
            </w:r>
          </w:p>
        </w:tc>
        <w:tc>
          <w:tcPr>
            <w:tcW w:w="425" w:type="pct"/>
            <w:shd w:val="clear" w:color="auto" w:fill="auto"/>
            <w:tcMar>
              <w:top w:w="20" w:type="dxa"/>
              <w:left w:w="20" w:type="dxa"/>
              <w:bottom w:w="0" w:type="dxa"/>
              <w:right w:w="20" w:type="dxa"/>
            </w:tcMar>
            <w:vAlign w:val="center"/>
            <w:hideMark/>
          </w:tcPr>
          <w:p w14:paraId="5E24B91F" w14:textId="77777777" w:rsidR="00FD1725" w:rsidRPr="009F1262" w:rsidRDefault="00FD1725" w:rsidP="00820B5E">
            <w:pPr>
              <w:jc w:val="center"/>
              <w:rPr>
                <w:rFonts w:ascii="Arial" w:hAnsi="Arial" w:cs="Arial"/>
                <w:sz w:val="18"/>
                <w:szCs w:val="18"/>
              </w:rPr>
            </w:pPr>
            <w:r w:rsidRPr="009F1262">
              <w:rPr>
                <w:rFonts w:ascii="Arial" w:hAnsi="Arial" w:cs="Arial"/>
                <w:sz w:val="18"/>
                <w:szCs w:val="18"/>
              </w:rPr>
              <w:t>2.20</w:t>
            </w:r>
          </w:p>
        </w:tc>
        <w:tc>
          <w:tcPr>
            <w:tcW w:w="573" w:type="pct"/>
            <w:shd w:val="clear" w:color="auto" w:fill="auto"/>
            <w:tcMar>
              <w:top w:w="20" w:type="dxa"/>
              <w:left w:w="20" w:type="dxa"/>
              <w:bottom w:w="0" w:type="dxa"/>
              <w:right w:w="20" w:type="dxa"/>
            </w:tcMar>
            <w:vAlign w:val="center"/>
            <w:hideMark/>
          </w:tcPr>
          <w:p w14:paraId="41DED179" w14:textId="77777777" w:rsidR="00FD1725" w:rsidRPr="009F1262" w:rsidRDefault="00FD1725" w:rsidP="00820B5E">
            <w:pPr>
              <w:keepNext/>
              <w:jc w:val="center"/>
              <w:rPr>
                <w:rFonts w:ascii="Arial" w:hAnsi="Arial" w:cs="Arial"/>
                <w:sz w:val="18"/>
                <w:szCs w:val="18"/>
              </w:rPr>
            </w:pPr>
            <w:r w:rsidRPr="009F1262">
              <w:rPr>
                <w:rFonts w:ascii="Arial" w:hAnsi="Arial" w:cs="Arial"/>
                <w:sz w:val="18"/>
                <w:szCs w:val="18"/>
              </w:rPr>
              <w:t>0.00</w:t>
            </w:r>
          </w:p>
        </w:tc>
      </w:tr>
      <w:tr w:rsidR="00FD1725" w:rsidRPr="009F1262" w14:paraId="29090640" w14:textId="77777777" w:rsidTr="00A15D31">
        <w:trPr>
          <w:trHeight w:val="288"/>
          <w:jc w:val="center"/>
        </w:trPr>
        <w:tc>
          <w:tcPr>
            <w:tcW w:w="484" w:type="pct"/>
            <w:shd w:val="clear" w:color="auto" w:fill="auto"/>
            <w:tcMar>
              <w:top w:w="20" w:type="dxa"/>
              <w:left w:w="20" w:type="dxa"/>
              <w:bottom w:w="0" w:type="dxa"/>
              <w:right w:w="20" w:type="dxa"/>
            </w:tcMar>
            <w:vAlign w:val="center"/>
          </w:tcPr>
          <w:p w14:paraId="35DF4C6E" w14:textId="79EF02A7" w:rsidR="00FD1725" w:rsidRPr="009F1262" w:rsidRDefault="00FD1725" w:rsidP="00820B5E">
            <w:pPr>
              <w:jc w:val="center"/>
              <w:rPr>
                <w:rFonts w:ascii="Arial" w:hAnsi="Arial" w:cs="Arial"/>
                <w:b/>
                <w:sz w:val="18"/>
                <w:szCs w:val="18"/>
              </w:rPr>
            </w:pPr>
            <w:r>
              <w:rPr>
                <w:rFonts w:ascii="Wingdings" w:hAnsi="Wingdings" w:cs="Arial"/>
                <w:b/>
                <w:sz w:val="18"/>
                <w:szCs w:val="18"/>
              </w:rPr>
              <w:t></w:t>
            </w:r>
            <w:r>
              <w:rPr>
                <w:rFonts w:ascii="Wingdings" w:hAnsi="Wingdings" w:cs="Arial"/>
                <w:b/>
                <w:sz w:val="18"/>
                <w:szCs w:val="18"/>
              </w:rPr>
              <w:t></w:t>
            </w:r>
            <w:r>
              <w:rPr>
                <w:rFonts w:ascii="Wingdings" w:hAnsi="Wingdings" w:cs="Arial"/>
                <w:b/>
                <w:sz w:val="18"/>
                <w:szCs w:val="18"/>
              </w:rPr>
              <w:t></w:t>
            </w:r>
          </w:p>
        </w:tc>
        <w:tc>
          <w:tcPr>
            <w:tcW w:w="656" w:type="pct"/>
            <w:shd w:val="clear" w:color="auto" w:fill="auto"/>
            <w:tcMar>
              <w:top w:w="20" w:type="dxa"/>
              <w:left w:w="20" w:type="dxa"/>
              <w:bottom w:w="0" w:type="dxa"/>
              <w:right w:w="20" w:type="dxa"/>
            </w:tcMar>
            <w:vAlign w:val="center"/>
          </w:tcPr>
          <w:p w14:paraId="5283DF97" w14:textId="3A275688" w:rsidR="00FD1725" w:rsidRPr="009F1262" w:rsidRDefault="00FD1725" w:rsidP="00820B5E">
            <w:pPr>
              <w:jc w:val="center"/>
              <w:rPr>
                <w:rFonts w:ascii="Arial" w:hAnsi="Arial" w:cs="Arial"/>
                <w:b/>
                <w:sz w:val="18"/>
                <w:szCs w:val="18"/>
              </w:rPr>
            </w:pPr>
            <w:r>
              <w:rPr>
                <w:rFonts w:ascii="Wingdings" w:hAnsi="Wingdings" w:cs="Arial"/>
                <w:b/>
                <w:sz w:val="18"/>
                <w:szCs w:val="18"/>
              </w:rPr>
              <w:t></w:t>
            </w:r>
            <w:r>
              <w:rPr>
                <w:rFonts w:ascii="Wingdings" w:hAnsi="Wingdings" w:cs="Arial"/>
                <w:b/>
                <w:sz w:val="18"/>
                <w:szCs w:val="18"/>
              </w:rPr>
              <w:t></w:t>
            </w:r>
            <w:r>
              <w:rPr>
                <w:rFonts w:ascii="Wingdings" w:hAnsi="Wingdings" w:cs="Arial"/>
                <w:b/>
                <w:sz w:val="18"/>
                <w:szCs w:val="18"/>
              </w:rPr>
              <w:t></w:t>
            </w:r>
          </w:p>
        </w:tc>
        <w:tc>
          <w:tcPr>
            <w:tcW w:w="376" w:type="pct"/>
            <w:shd w:val="clear" w:color="auto" w:fill="auto"/>
            <w:tcMar>
              <w:top w:w="20" w:type="dxa"/>
              <w:left w:w="20" w:type="dxa"/>
              <w:bottom w:w="0" w:type="dxa"/>
              <w:right w:w="20" w:type="dxa"/>
            </w:tcMar>
            <w:vAlign w:val="center"/>
          </w:tcPr>
          <w:p w14:paraId="28259693" w14:textId="77777777" w:rsidR="00FD1725" w:rsidRPr="009F1262" w:rsidRDefault="00FD1725" w:rsidP="00820B5E">
            <w:pPr>
              <w:jc w:val="center"/>
              <w:rPr>
                <w:rFonts w:ascii="Arial" w:hAnsi="Arial" w:cs="Arial"/>
                <w:sz w:val="18"/>
                <w:szCs w:val="18"/>
              </w:rPr>
            </w:pPr>
            <w:r>
              <w:rPr>
                <w:rFonts w:ascii="Wingdings" w:hAnsi="Wingdings" w:cs="Arial"/>
                <w:b/>
                <w:sz w:val="18"/>
                <w:szCs w:val="18"/>
              </w:rPr>
              <w:t></w:t>
            </w:r>
            <w:r>
              <w:rPr>
                <w:rFonts w:ascii="Wingdings" w:hAnsi="Wingdings" w:cs="Arial"/>
                <w:b/>
                <w:sz w:val="18"/>
                <w:szCs w:val="18"/>
              </w:rPr>
              <w:t></w:t>
            </w:r>
            <w:r>
              <w:rPr>
                <w:rFonts w:ascii="Wingdings" w:hAnsi="Wingdings" w:cs="Arial"/>
                <w:b/>
                <w:sz w:val="18"/>
                <w:szCs w:val="18"/>
              </w:rPr>
              <w:t></w:t>
            </w:r>
          </w:p>
        </w:tc>
        <w:tc>
          <w:tcPr>
            <w:tcW w:w="516" w:type="pct"/>
            <w:shd w:val="clear" w:color="auto" w:fill="auto"/>
            <w:tcMar>
              <w:top w:w="20" w:type="dxa"/>
              <w:left w:w="20" w:type="dxa"/>
              <w:bottom w:w="0" w:type="dxa"/>
              <w:right w:w="20" w:type="dxa"/>
            </w:tcMar>
            <w:vAlign w:val="center"/>
          </w:tcPr>
          <w:p w14:paraId="450E3C66" w14:textId="77777777" w:rsidR="00FD1725" w:rsidRPr="009F1262" w:rsidRDefault="00FD1725" w:rsidP="00820B5E">
            <w:pPr>
              <w:jc w:val="center"/>
              <w:rPr>
                <w:rFonts w:ascii="Arial" w:hAnsi="Arial" w:cs="Arial"/>
                <w:sz w:val="18"/>
                <w:szCs w:val="18"/>
              </w:rPr>
            </w:pPr>
            <w:r>
              <w:rPr>
                <w:rFonts w:ascii="Wingdings" w:hAnsi="Wingdings" w:cs="Arial"/>
                <w:b/>
                <w:sz w:val="18"/>
                <w:szCs w:val="18"/>
              </w:rPr>
              <w:t></w:t>
            </w:r>
            <w:r>
              <w:rPr>
                <w:rFonts w:ascii="Wingdings" w:hAnsi="Wingdings" w:cs="Arial"/>
                <w:b/>
                <w:sz w:val="18"/>
                <w:szCs w:val="18"/>
              </w:rPr>
              <w:t></w:t>
            </w:r>
            <w:r>
              <w:rPr>
                <w:rFonts w:ascii="Wingdings" w:hAnsi="Wingdings" w:cs="Arial"/>
                <w:b/>
                <w:sz w:val="18"/>
                <w:szCs w:val="18"/>
              </w:rPr>
              <w:t></w:t>
            </w:r>
          </w:p>
        </w:tc>
        <w:tc>
          <w:tcPr>
            <w:tcW w:w="515" w:type="pct"/>
            <w:shd w:val="clear" w:color="auto" w:fill="auto"/>
            <w:tcMar>
              <w:top w:w="20" w:type="dxa"/>
              <w:left w:w="20" w:type="dxa"/>
              <w:bottom w:w="0" w:type="dxa"/>
              <w:right w:w="20" w:type="dxa"/>
            </w:tcMar>
            <w:vAlign w:val="center"/>
          </w:tcPr>
          <w:p w14:paraId="4E2FFB55" w14:textId="77777777" w:rsidR="00FD1725" w:rsidRPr="009F1262" w:rsidRDefault="00FD1725" w:rsidP="00820B5E">
            <w:pPr>
              <w:jc w:val="center"/>
              <w:rPr>
                <w:rFonts w:ascii="Arial" w:hAnsi="Arial" w:cs="Arial"/>
                <w:sz w:val="18"/>
                <w:szCs w:val="18"/>
              </w:rPr>
            </w:pPr>
            <w:r>
              <w:rPr>
                <w:rFonts w:ascii="Wingdings" w:hAnsi="Wingdings" w:cs="Arial"/>
                <w:b/>
                <w:sz w:val="18"/>
                <w:szCs w:val="18"/>
              </w:rPr>
              <w:t></w:t>
            </w:r>
            <w:r>
              <w:rPr>
                <w:rFonts w:ascii="Wingdings" w:hAnsi="Wingdings" w:cs="Arial"/>
                <w:b/>
                <w:sz w:val="18"/>
                <w:szCs w:val="18"/>
              </w:rPr>
              <w:t></w:t>
            </w:r>
            <w:r>
              <w:rPr>
                <w:rFonts w:ascii="Wingdings" w:hAnsi="Wingdings" w:cs="Arial"/>
                <w:b/>
                <w:sz w:val="18"/>
                <w:szCs w:val="18"/>
              </w:rPr>
              <w:t></w:t>
            </w:r>
          </w:p>
        </w:tc>
        <w:tc>
          <w:tcPr>
            <w:tcW w:w="611" w:type="pct"/>
            <w:shd w:val="clear" w:color="auto" w:fill="auto"/>
            <w:tcMar>
              <w:top w:w="20" w:type="dxa"/>
              <w:left w:w="20" w:type="dxa"/>
              <w:bottom w:w="0" w:type="dxa"/>
              <w:right w:w="20" w:type="dxa"/>
            </w:tcMar>
            <w:vAlign w:val="center"/>
          </w:tcPr>
          <w:p w14:paraId="21C9C366" w14:textId="77777777" w:rsidR="00FD1725" w:rsidRPr="009F1262" w:rsidRDefault="00FD1725" w:rsidP="00820B5E">
            <w:pPr>
              <w:jc w:val="center"/>
              <w:rPr>
                <w:rFonts w:ascii="Arial" w:hAnsi="Arial" w:cs="Arial"/>
                <w:sz w:val="18"/>
                <w:szCs w:val="18"/>
              </w:rPr>
            </w:pPr>
            <w:r>
              <w:rPr>
                <w:rFonts w:ascii="Wingdings" w:hAnsi="Wingdings" w:cs="Arial"/>
                <w:b/>
                <w:sz w:val="18"/>
                <w:szCs w:val="18"/>
              </w:rPr>
              <w:t></w:t>
            </w:r>
            <w:r>
              <w:rPr>
                <w:rFonts w:ascii="Wingdings" w:hAnsi="Wingdings" w:cs="Arial"/>
                <w:b/>
                <w:sz w:val="18"/>
                <w:szCs w:val="18"/>
              </w:rPr>
              <w:t></w:t>
            </w:r>
            <w:r>
              <w:rPr>
                <w:rFonts w:ascii="Wingdings" w:hAnsi="Wingdings" w:cs="Arial"/>
                <w:b/>
                <w:sz w:val="18"/>
                <w:szCs w:val="18"/>
              </w:rPr>
              <w:t></w:t>
            </w:r>
          </w:p>
        </w:tc>
        <w:tc>
          <w:tcPr>
            <w:tcW w:w="375" w:type="pct"/>
            <w:shd w:val="clear" w:color="auto" w:fill="auto"/>
            <w:tcMar>
              <w:top w:w="20" w:type="dxa"/>
              <w:left w:w="20" w:type="dxa"/>
              <w:bottom w:w="0" w:type="dxa"/>
              <w:right w:w="20" w:type="dxa"/>
            </w:tcMar>
            <w:vAlign w:val="center"/>
          </w:tcPr>
          <w:p w14:paraId="5459D986" w14:textId="77777777" w:rsidR="00FD1725" w:rsidRPr="009F1262" w:rsidRDefault="00FD1725" w:rsidP="00820B5E">
            <w:pPr>
              <w:jc w:val="center"/>
              <w:rPr>
                <w:rFonts w:ascii="Arial" w:hAnsi="Arial" w:cs="Arial"/>
                <w:sz w:val="18"/>
                <w:szCs w:val="18"/>
              </w:rPr>
            </w:pPr>
            <w:r>
              <w:rPr>
                <w:rFonts w:ascii="Wingdings" w:hAnsi="Wingdings" w:cs="Arial"/>
                <w:b/>
                <w:sz w:val="18"/>
                <w:szCs w:val="18"/>
              </w:rPr>
              <w:t></w:t>
            </w:r>
            <w:r>
              <w:rPr>
                <w:rFonts w:ascii="Wingdings" w:hAnsi="Wingdings" w:cs="Arial"/>
                <w:b/>
                <w:sz w:val="18"/>
                <w:szCs w:val="18"/>
              </w:rPr>
              <w:t></w:t>
            </w:r>
            <w:r>
              <w:rPr>
                <w:rFonts w:ascii="Wingdings" w:hAnsi="Wingdings" w:cs="Arial"/>
                <w:b/>
                <w:sz w:val="18"/>
                <w:szCs w:val="18"/>
              </w:rPr>
              <w:t></w:t>
            </w:r>
          </w:p>
        </w:tc>
        <w:tc>
          <w:tcPr>
            <w:tcW w:w="469" w:type="pct"/>
            <w:shd w:val="clear" w:color="auto" w:fill="auto"/>
            <w:tcMar>
              <w:top w:w="20" w:type="dxa"/>
              <w:left w:w="20" w:type="dxa"/>
              <w:bottom w:w="0" w:type="dxa"/>
              <w:right w:w="20" w:type="dxa"/>
            </w:tcMar>
            <w:vAlign w:val="center"/>
          </w:tcPr>
          <w:p w14:paraId="15FACFBC" w14:textId="77777777" w:rsidR="00FD1725" w:rsidRPr="009F1262" w:rsidRDefault="00FD1725" w:rsidP="00820B5E">
            <w:pPr>
              <w:jc w:val="center"/>
              <w:rPr>
                <w:rFonts w:ascii="Arial" w:hAnsi="Arial" w:cs="Arial"/>
                <w:sz w:val="18"/>
                <w:szCs w:val="18"/>
              </w:rPr>
            </w:pPr>
            <w:r>
              <w:rPr>
                <w:rFonts w:ascii="Wingdings" w:hAnsi="Wingdings" w:cs="Arial"/>
                <w:b/>
                <w:sz w:val="18"/>
                <w:szCs w:val="18"/>
              </w:rPr>
              <w:t></w:t>
            </w:r>
            <w:r>
              <w:rPr>
                <w:rFonts w:ascii="Wingdings" w:hAnsi="Wingdings" w:cs="Arial"/>
                <w:b/>
                <w:sz w:val="18"/>
                <w:szCs w:val="18"/>
              </w:rPr>
              <w:t></w:t>
            </w:r>
            <w:r>
              <w:rPr>
                <w:rFonts w:ascii="Wingdings" w:hAnsi="Wingdings" w:cs="Arial"/>
                <w:b/>
                <w:sz w:val="18"/>
                <w:szCs w:val="18"/>
              </w:rPr>
              <w:t></w:t>
            </w:r>
          </w:p>
        </w:tc>
        <w:tc>
          <w:tcPr>
            <w:tcW w:w="425" w:type="pct"/>
            <w:shd w:val="clear" w:color="auto" w:fill="auto"/>
            <w:tcMar>
              <w:top w:w="20" w:type="dxa"/>
              <w:left w:w="20" w:type="dxa"/>
              <w:bottom w:w="0" w:type="dxa"/>
              <w:right w:w="20" w:type="dxa"/>
            </w:tcMar>
            <w:vAlign w:val="center"/>
          </w:tcPr>
          <w:p w14:paraId="520021E8" w14:textId="77777777" w:rsidR="00FD1725" w:rsidRPr="009F1262" w:rsidRDefault="00FD1725" w:rsidP="00820B5E">
            <w:pPr>
              <w:jc w:val="center"/>
              <w:rPr>
                <w:rFonts w:ascii="Arial" w:hAnsi="Arial" w:cs="Arial"/>
                <w:sz w:val="18"/>
                <w:szCs w:val="18"/>
              </w:rPr>
            </w:pPr>
            <w:r>
              <w:rPr>
                <w:rFonts w:ascii="Wingdings" w:hAnsi="Wingdings" w:cs="Arial"/>
                <w:b/>
                <w:sz w:val="18"/>
                <w:szCs w:val="18"/>
              </w:rPr>
              <w:t></w:t>
            </w:r>
            <w:r>
              <w:rPr>
                <w:rFonts w:ascii="Wingdings" w:hAnsi="Wingdings" w:cs="Arial"/>
                <w:b/>
                <w:sz w:val="18"/>
                <w:szCs w:val="18"/>
              </w:rPr>
              <w:t></w:t>
            </w:r>
            <w:r>
              <w:rPr>
                <w:rFonts w:ascii="Wingdings" w:hAnsi="Wingdings" w:cs="Arial"/>
                <w:b/>
                <w:sz w:val="18"/>
                <w:szCs w:val="18"/>
              </w:rPr>
              <w:t></w:t>
            </w:r>
          </w:p>
        </w:tc>
        <w:tc>
          <w:tcPr>
            <w:tcW w:w="573" w:type="pct"/>
            <w:shd w:val="clear" w:color="auto" w:fill="auto"/>
            <w:tcMar>
              <w:top w:w="20" w:type="dxa"/>
              <w:left w:w="20" w:type="dxa"/>
              <w:bottom w:w="0" w:type="dxa"/>
              <w:right w:w="20" w:type="dxa"/>
            </w:tcMar>
            <w:vAlign w:val="center"/>
          </w:tcPr>
          <w:p w14:paraId="6A21AD7A" w14:textId="77777777" w:rsidR="00FD1725" w:rsidRPr="009F1262" w:rsidRDefault="00FD1725" w:rsidP="00820B5E">
            <w:pPr>
              <w:keepNext/>
              <w:jc w:val="center"/>
              <w:rPr>
                <w:rFonts w:ascii="Arial" w:hAnsi="Arial" w:cs="Arial"/>
                <w:sz w:val="18"/>
                <w:szCs w:val="18"/>
              </w:rPr>
            </w:pPr>
            <w:r>
              <w:rPr>
                <w:rFonts w:ascii="Wingdings" w:hAnsi="Wingdings" w:cs="Arial"/>
                <w:b/>
                <w:sz w:val="18"/>
                <w:szCs w:val="18"/>
              </w:rPr>
              <w:t></w:t>
            </w:r>
            <w:r>
              <w:rPr>
                <w:rFonts w:ascii="Wingdings" w:hAnsi="Wingdings" w:cs="Arial"/>
                <w:b/>
                <w:sz w:val="18"/>
                <w:szCs w:val="18"/>
              </w:rPr>
              <w:t></w:t>
            </w:r>
            <w:r>
              <w:rPr>
                <w:rFonts w:ascii="Wingdings" w:hAnsi="Wingdings" w:cs="Arial"/>
                <w:b/>
                <w:sz w:val="18"/>
                <w:szCs w:val="18"/>
              </w:rPr>
              <w:t></w:t>
            </w:r>
          </w:p>
        </w:tc>
      </w:tr>
    </w:tbl>
    <w:p w14:paraId="106823B6" w14:textId="77777777" w:rsidR="00FD1725" w:rsidRDefault="00FD1725" w:rsidP="00814606">
      <w:pPr>
        <w:rPr>
          <w:rFonts w:cs="Times New Roman"/>
        </w:rPr>
      </w:pPr>
    </w:p>
    <w:p w14:paraId="3026211B" w14:textId="77777777" w:rsidR="00752FA6" w:rsidRDefault="00752FA6" w:rsidP="00814606">
      <w:pPr>
        <w:rPr>
          <w:rFonts w:cs="Times New Roman"/>
          <w:b/>
        </w:rPr>
      </w:pPr>
    </w:p>
    <w:p w14:paraId="41D0E62B" w14:textId="77777777" w:rsidR="00752FA6" w:rsidRDefault="00752FA6" w:rsidP="00814606">
      <w:pPr>
        <w:rPr>
          <w:rFonts w:cs="Times New Roman"/>
          <w:b/>
        </w:rPr>
      </w:pPr>
    </w:p>
    <w:p w14:paraId="46082C7A" w14:textId="5B634A26" w:rsidR="009C3D10" w:rsidRPr="001D74E9" w:rsidRDefault="00564299" w:rsidP="00814606">
      <w:pPr>
        <w:rPr>
          <w:rFonts w:cs="Times New Roman"/>
          <w:b/>
        </w:rPr>
      </w:pPr>
      <w:r>
        <w:rPr>
          <w:rFonts w:cs="Times New Roman"/>
          <w:b/>
        </w:rPr>
        <w:lastRenderedPageBreak/>
        <w:t>Manufacturing</w:t>
      </w:r>
      <w:r w:rsidRPr="001D74E9">
        <w:rPr>
          <w:rFonts w:cs="Times New Roman"/>
          <w:b/>
        </w:rPr>
        <w:t xml:space="preserve"> </w:t>
      </w:r>
      <w:r w:rsidR="005A6066" w:rsidRPr="001D74E9">
        <w:rPr>
          <w:rFonts w:cs="Times New Roman"/>
          <w:b/>
        </w:rPr>
        <w:t>Sector</w:t>
      </w:r>
    </w:p>
    <w:p w14:paraId="50EA92E0" w14:textId="18799C4A" w:rsidR="001D74E9" w:rsidRDefault="001D74E9" w:rsidP="001D74E9">
      <w:pPr>
        <w:rPr>
          <w:rFonts w:cs="Times New Roman"/>
        </w:rPr>
      </w:pPr>
      <w:r>
        <w:rPr>
          <w:rFonts w:cs="Times New Roman"/>
        </w:rPr>
        <w:t xml:space="preserve">For the manufacturing subsector analysis, </w:t>
      </w:r>
      <w:r w:rsidRPr="001D74E9">
        <w:rPr>
          <w:rFonts w:cs="Times New Roman"/>
        </w:rPr>
        <w:t>EIA’s MECS database provides</w:t>
      </w:r>
      <w:r w:rsidR="000967B4">
        <w:rPr>
          <w:rFonts w:cs="Times New Roman"/>
        </w:rPr>
        <w:t xml:space="preserve"> demand</w:t>
      </w:r>
      <w:r w:rsidRPr="001D74E9">
        <w:rPr>
          <w:rFonts w:cs="Times New Roman"/>
        </w:rPr>
        <w:t xml:space="preserve"> </w:t>
      </w:r>
      <w:r w:rsidR="000967B4">
        <w:rPr>
          <w:rFonts w:cs="Times New Roman"/>
        </w:rPr>
        <w:t xml:space="preserve">data on two low-temperature end-uses: </w:t>
      </w:r>
      <w:r w:rsidRPr="001D74E9">
        <w:rPr>
          <w:rFonts w:cs="Times New Roman"/>
        </w:rPr>
        <w:t xml:space="preserve">process steam and facility </w:t>
      </w:r>
      <w:r w:rsidR="008C14E2">
        <w:rPr>
          <w:rFonts w:cs="Times New Roman"/>
        </w:rPr>
        <w:t>heating, ventilating and air conditioning</w:t>
      </w:r>
      <w:r w:rsidR="008C14E2" w:rsidRPr="001D74E9">
        <w:rPr>
          <w:rFonts w:cs="Times New Roman"/>
        </w:rPr>
        <w:t xml:space="preserve"> </w:t>
      </w:r>
      <w:r w:rsidRPr="001D74E9">
        <w:rPr>
          <w:rFonts w:cs="Times New Roman"/>
        </w:rPr>
        <w:t xml:space="preserve">(not explicitly space heating). </w:t>
      </w:r>
      <w:r w:rsidR="000967B4">
        <w:rPr>
          <w:rFonts w:cs="Times New Roman"/>
        </w:rPr>
        <w:t>For process heat</w:t>
      </w:r>
      <w:r w:rsidRPr="001D74E9">
        <w:rPr>
          <w:rFonts w:cs="Times New Roman"/>
        </w:rPr>
        <w:t xml:space="preserve">, the variability of the fluid temperatures between industries complicates the analysis. The use of the publication </w:t>
      </w:r>
      <w:r w:rsidRPr="001D74E9">
        <w:rPr>
          <w:rFonts w:cs="Times New Roman"/>
          <w:i/>
        </w:rPr>
        <w:t>Energy Analysis of 108 Industrial Processes</w:t>
      </w:r>
      <w:r>
        <w:rPr>
          <w:rFonts w:cs="Times New Roman"/>
        </w:rPr>
        <w:t xml:space="preserve"> </w:t>
      </w:r>
      <w:r w:rsidR="00285654">
        <w:rPr>
          <w:rFonts w:cs="Times New Roman"/>
        </w:rPr>
        <w:t xml:space="preserve">(Brown et al. 1985) </w:t>
      </w:r>
      <w:r w:rsidRPr="001D74E9">
        <w:rPr>
          <w:rFonts w:cs="Times New Roman"/>
        </w:rPr>
        <w:t xml:space="preserve">allows us to filter the most energy-intensive processes based on their operating temperatures. The resulting list of processes can then be evaluated for thermal demand that fits the study’s temperature bounds. </w:t>
      </w:r>
      <w:r w:rsidR="00F13218">
        <w:rPr>
          <w:rFonts w:cs="Times New Roman"/>
        </w:rPr>
        <w:fldChar w:fldCharType="begin"/>
      </w:r>
      <w:r w:rsidR="00F13218">
        <w:rPr>
          <w:rFonts w:cs="Times New Roman"/>
        </w:rPr>
        <w:instrText xml:space="preserve"> REF _Ref323459315 \h </w:instrText>
      </w:r>
      <w:r w:rsidR="00F13218">
        <w:rPr>
          <w:rFonts w:cs="Times New Roman"/>
        </w:rPr>
      </w:r>
      <w:r w:rsidR="00F13218">
        <w:rPr>
          <w:rFonts w:cs="Times New Roman"/>
        </w:rPr>
        <w:fldChar w:fldCharType="separate"/>
      </w:r>
      <w:r w:rsidR="00244063" w:rsidRPr="00A15D31">
        <w:rPr>
          <w:rFonts w:cs="Times New Roman"/>
        </w:rPr>
        <w:t xml:space="preserve">Figure </w:t>
      </w:r>
      <w:r w:rsidR="00244063">
        <w:rPr>
          <w:rFonts w:cs="Times New Roman"/>
          <w:noProof/>
        </w:rPr>
        <w:t>6</w:t>
      </w:r>
      <w:r w:rsidR="00F13218">
        <w:rPr>
          <w:rFonts w:cs="Times New Roman"/>
        </w:rPr>
        <w:fldChar w:fldCharType="end"/>
      </w:r>
      <w:r w:rsidR="005D297F">
        <w:rPr>
          <w:rFonts w:cs="Times New Roman"/>
        </w:rPr>
        <w:t xml:space="preserve"> illustrates the general workflow of the analysis.</w:t>
      </w:r>
    </w:p>
    <w:p w14:paraId="2F5AD111" w14:textId="77777777" w:rsidR="0022607F" w:rsidRDefault="0022607F" w:rsidP="001D74E9">
      <w:pPr>
        <w:rPr>
          <w:rFonts w:cs="Times New Roman"/>
        </w:rPr>
      </w:pPr>
    </w:p>
    <w:p w14:paraId="01C15304" w14:textId="77777777" w:rsidR="00691F3D" w:rsidRDefault="0022607F" w:rsidP="00427C94">
      <w:pPr>
        <w:keepNext/>
      </w:pPr>
      <w:r w:rsidRPr="0069263D">
        <w:rPr>
          <w:noProof/>
        </w:rPr>
        <w:drawing>
          <wp:inline distT="0" distB="0" distL="0" distR="0" wp14:anchorId="0982F2E2" wp14:editId="0B076180">
            <wp:extent cx="5486400" cy="2801073"/>
            <wp:effectExtent l="57150" t="0" r="571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2F96CD5" w14:textId="706A292B" w:rsidR="001D74E9" w:rsidRPr="00A15D31" w:rsidRDefault="00691F3D" w:rsidP="00427C94">
      <w:pPr>
        <w:pStyle w:val="Caption"/>
        <w:jc w:val="center"/>
        <w:rPr>
          <w:b w:val="0"/>
          <w:color w:val="auto"/>
        </w:rPr>
      </w:pPr>
      <w:bookmarkStart w:id="6" w:name="_Ref323459315"/>
      <w:r w:rsidRPr="00A15D31">
        <w:rPr>
          <w:rFonts w:cs="Times New Roman"/>
          <w:color w:val="auto"/>
        </w:rPr>
        <w:t xml:space="preserve">Figure </w:t>
      </w:r>
      <w:r w:rsidRPr="00A15D31">
        <w:rPr>
          <w:rFonts w:cs="Times New Roman"/>
          <w:color w:val="auto"/>
        </w:rPr>
        <w:fldChar w:fldCharType="begin"/>
      </w:r>
      <w:r w:rsidRPr="00A15D31">
        <w:rPr>
          <w:rFonts w:cs="Times New Roman"/>
          <w:color w:val="auto"/>
        </w:rPr>
        <w:instrText xml:space="preserve"> SEQ Figure \* ARABIC </w:instrText>
      </w:r>
      <w:r w:rsidRPr="00A15D31">
        <w:rPr>
          <w:rFonts w:cs="Times New Roman"/>
          <w:color w:val="auto"/>
        </w:rPr>
        <w:fldChar w:fldCharType="separate"/>
      </w:r>
      <w:r w:rsidR="00244063">
        <w:rPr>
          <w:rFonts w:cs="Times New Roman"/>
          <w:noProof/>
          <w:color w:val="auto"/>
        </w:rPr>
        <w:t>6</w:t>
      </w:r>
      <w:r w:rsidRPr="00A15D31">
        <w:rPr>
          <w:rFonts w:cs="Times New Roman"/>
          <w:color w:val="auto"/>
        </w:rPr>
        <w:fldChar w:fldCharType="end"/>
      </w:r>
      <w:bookmarkEnd w:id="6"/>
      <w:r w:rsidRPr="00A15D31">
        <w:rPr>
          <w:rFonts w:cs="Times New Roman"/>
          <w:color w:val="auto"/>
        </w:rPr>
        <w:t xml:space="preserve">: </w:t>
      </w:r>
      <w:r w:rsidRPr="00A15D31">
        <w:rPr>
          <w:rFonts w:cs="Times New Roman"/>
          <w:b w:val="0"/>
          <w:color w:val="auto"/>
        </w:rPr>
        <w:t>General workflow of manufacturing sector analysis</w:t>
      </w:r>
    </w:p>
    <w:p w14:paraId="3DCC38B1" w14:textId="18158B22" w:rsidR="00E86E1A" w:rsidRDefault="00285654" w:rsidP="00814606">
      <w:pPr>
        <w:rPr>
          <w:rFonts w:cs="Times New Roman"/>
        </w:rPr>
      </w:pPr>
      <w:r>
        <w:rPr>
          <w:rFonts w:cs="Times New Roman"/>
        </w:rPr>
        <w:t>We digitized t</w:t>
      </w:r>
      <w:r w:rsidR="006D066B">
        <w:rPr>
          <w:rFonts w:cs="Times New Roman"/>
        </w:rPr>
        <w:t>he information contained in Brown et al.</w:t>
      </w:r>
      <w:r w:rsidR="003B6218">
        <w:rPr>
          <w:rFonts w:cs="Times New Roman"/>
        </w:rPr>
        <w:t xml:space="preserve"> (1985)</w:t>
      </w:r>
      <w:r w:rsidR="006D066B">
        <w:rPr>
          <w:rFonts w:cs="Times New Roman"/>
        </w:rPr>
        <w:t>, allowing us to filter the fluid temperatures and analyze only the industries that utilize process steam within the temperature bounds of the study.</w:t>
      </w:r>
      <w:r w:rsidR="005F64EC">
        <w:rPr>
          <w:rFonts w:cs="Times New Roman"/>
        </w:rPr>
        <w:t xml:space="preserve"> This resulted in a li</w:t>
      </w:r>
      <w:r w:rsidR="00A52239">
        <w:rPr>
          <w:rFonts w:cs="Times New Roman"/>
        </w:rPr>
        <w:t xml:space="preserve">st of 49 industries, </w:t>
      </w:r>
      <w:r>
        <w:rPr>
          <w:rFonts w:cs="Times New Roman"/>
        </w:rPr>
        <w:t xml:space="preserve">a sample of which is shown in </w:t>
      </w:r>
      <w:r w:rsidR="00A52239">
        <w:rPr>
          <w:rFonts w:cs="Times New Roman"/>
        </w:rPr>
        <w:fldChar w:fldCharType="begin"/>
      </w:r>
      <w:r w:rsidR="00A52239">
        <w:rPr>
          <w:rFonts w:cs="Times New Roman"/>
        </w:rPr>
        <w:instrText xml:space="preserve"> REF _Ref322781451 \h </w:instrText>
      </w:r>
      <w:r w:rsidR="00A52239">
        <w:rPr>
          <w:rFonts w:cs="Times New Roman"/>
        </w:rPr>
      </w:r>
      <w:r w:rsidR="00A52239">
        <w:rPr>
          <w:rFonts w:cs="Times New Roman"/>
        </w:rPr>
        <w:fldChar w:fldCharType="separate"/>
      </w:r>
      <w:r w:rsidR="00244063" w:rsidRPr="00A15D31">
        <w:rPr>
          <w:rFonts w:cs="Times New Roman"/>
        </w:rPr>
        <w:t xml:space="preserve">Table </w:t>
      </w:r>
      <w:r w:rsidR="00244063">
        <w:rPr>
          <w:rFonts w:cs="Times New Roman"/>
          <w:noProof/>
        </w:rPr>
        <w:t>4</w:t>
      </w:r>
      <w:r w:rsidR="00A52239">
        <w:rPr>
          <w:rFonts w:cs="Times New Roman"/>
        </w:rPr>
        <w:fldChar w:fldCharType="end"/>
      </w:r>
      <w:r w:rsidR="005F64EC">
        <w:rPr>
          <w:rFonts w:cs="Times New Roman"/>
        </w:rPr>
        <w:t xml:space="preserve">. </w:t>
      </w:r>
      <w:r w:rsidR="00E86E1A">
        <w:rPr>
          <w:rFonts w:cs="Times New Roman"/>
        </w:rPr>
        <w:t xml:space="preserve">The energy use </w:t>
      </w:r>
      <w:r w:rsidR="00E86E1A" w:rsidRPr="00E86E1A">
        <w:rPr>
          <w:rFonts w:cs="Times New Roman"/>
        </w:rPr>
        <w:t>for each process in this document is based on industry-specific units (</w:t>
      </w:r>
      <w:r w:rsidR="00417523">
        <w:rPr>
          <w:rFonts w:cs="Times New Roman"/>
        </w:rPr>
        <w:t xml:space="preserve">e.g., </w:t>
      </w:r>
      <w:r w:rsidR="008F7D6F">
        <w:rPr>
          <w:rFonts w:cs="Times New Roman"/>
        </w:rPr>
        <w:t>Btu</w:t>
      </w:r>
      <w:r w:rsidR="00E86E1A" w:rsidRPr="00E86E1A">
        <w:rPr>
          <w:rFonts w:cs="Times New Roman"/>
        </w:rPr>
        <w:t>/lb</w:t>
      </w:r>
      <w:r w:rsidR="008C14E2">
        <w:rPr>
          <w:rFonts w:cs="Times New Roman"/>
        </w:rPr>
        <w:t>.</w:t>
      </w:r>
      <w:r w:rsidR="00E86E1A" w:rsidRPr="00E86E1A">
        <w:rPr>
          <w:rFonts w:cs="Times New Roman"/>
        </w:rPr>
        <w:t xml:space="preserve"> of meat products), rendering cross-industry comparison </w:t>
      </w:r>
      <w:r w:rsidR="000967B4">
        <w:rPr>
          <w:rFonts w:cs="Times New Roman"/>
        </w:rPr>
        <w:t xml:space="preserve">of aggregate intensity </w:t>
      </w:r>
      <w:r w:rsidR="00E86E1A" w:rsidRPr="00E86E1A">
        <w:rPr>
          <w:rFonts w:cs="Times New Roman"/>
        </w:rPr>
        <w:t>difficult without further analysis.</w:t>
      </w:r>
    </w:p>
    <w:p w14:paraId="6036B271" w14:textId="77777777" w:rsidR="00E86E1A" w:rsidRDefault="00E86E1A" w:rsidP="00814606">
      <w:pPr>
        <w:rPr>
          <w:rFonts w:cs="Times New Roman"/>
        </w:rPr>
      </w:pPr>
    </w:p>
    <w:p w14:paraId="5A3121EC" w14:textId="43C53647" w:rsidR="006D066B" w:rsidRDefault="005F64EC" w:rsidP="00814606">
      <w:pPr>
        <w:rPr>
          <w:rFonts w:cs="Times New Roman"/>
        </w:rPr>
      </w:pPr>
      <w:r>
        <w:rPr>
          <w:rFonts w:cs="Times New Roman"/>
        </w:rPr>
        <w:t>It is important to note that some industries reported multiple steam temperatures required for distinct processes</w:t>
      </w:r>
      <w:r w:rsidR="002A7B26">
        <w:rPr>
          <w:rFonts w:cs="Times New Roman"/>
        </w:rPr>
        <w:t>. I</w:t>
      </w:r>
      <w:r>
        <w:rPr>
          <w:rFonts w:cs="Times New Roman"/>
        </w:rPr>
        <w:t>f a single industry contained any process above 150°C, the entry was discarded</w:t>
      </w:r>
      <w:r w:rsidR="003B6218">
        <w:rPr>
          <w:rFonts w:cs="Times New Roman"/>
        </w:rPr>
        <w:t>; it is</w:t>
      </w:r>
      <w:r>
        <w:rPr>
          <w:rFonts w:cs="Times New Roman"/>
        </w:rPr>
        <w:t xml:space="preserve"> expected that </w:t>
      </w:r>
      <w:r w:rsidR="002A7B26">
        <w:rPr>
          <w:rFonts w:cs="Times New Roman"/>
        </w:rPr>
        <w:t xml:space="preserve">such </w:t>
      </w:r>
      <w:r>
        <w:rPr>
          <w:rFonts w:cs="Times New Roman"/>
        </w:rPr>
        <w:t>a facility would simply invest</w:t>
      </w:r>
      <w:r w:rsidR="002F3530">
        <w:rPr>
          <w:rFonts w:cs="Times New Roman"/>
        </w:rPr>
        <w:t xml:space="preserve"> in a higher</w:t>
      </w:r>
      <w:r w:rsidR="002A7B26">
        <w:rPr>
          <w:rFonts w:cs="Times New Roman"/>
        </w:rPr>
        <w:t>-</w:t>
      </w:r>
      <w:r w:rsidR="002F3530">
        <w:rPr>
          <w:rFonts w:cs="Times New Roman"/>
        </w:rPr>
        <w:t xml:space="preserve">rated boiler </w:t>
      </w:r>
      <w:r>
        <w:rPr>
          <w:rFonts w:cs="Times New Roman"/>
        </w:rPr>
        <w:t xml:space="preserve">for </w:t>
      </w:r>
      <w:r w:rsidR="002A7B26">
        <w:rPr>
          <w:rFonts w:cs="Times New Roman"/>
        </w:rPr>
        <w:t xml:space="preserve">its </w:t>
      </w:r>
      <w:r>
        <w:rPr>
          <w:rFonts w:cs="Times New Roman"/>
        </w:rPr>
        <w:t xml:space="preserve">higher temperature </w:t>
      </w:r>
      <w:r w:rsidR="00A15614">
        <w:rPr>
          <w:rFonts w:cs="Times New Roman"/>
        </w:rPr>
        <w:t>needs instead of employing a combination of</w:t>
      </w:r>
      <w:r>
        <w:rPr>
          <w:rFonts w:cs="Times New Roman"/>
        </w:rPr>
        <w:t xml:space="preserve"> DU for lower temperatures and boilers for higher temperatures.</w:t>
      </w:r>
    </w:p>
    <w:p w14:paraId="32C7CA17" w14:textId="77777777" w:rsidR="006E67DF" w:rsidRDefault="006E67DF" w:rsidP="00814606">
      <w:pPr>
        <w:rPr>
          <w:rFonts w:cs="Times New Roman"/>
        </w:rPr>
      </w:pPr>
    </w:p>
    <w:p w14:paraId="7DA4665C" w14:textId="77777777" w:rsidR="008C14E2" w:rsidRDefault="008C14E2">
      <w:pPr>
        <w:rPr>
          <w:rFonts w:cs="Times New Roman"/>
          <w:b/>
          <w:bCs/>
          <w:sz w:val="18"/>
          <w:szCs w:val="18"/>
        </w:rPr>
      </w:pPr>
      <w:bookmarkStart w:id="7" w:name="_Ref322781451"/>
      <w:r>
        <w:rPr>
          <w:rFonts w:cs="Times New Roman"/>
        </w:rPr>
        <w:br w:type="page"/>
      </w:r>
    </w:p>
    <w:p w14:paraId="2DAD8EDF" w14:textId="168EC190" w:rsidR="006E67DF" w:rsidRPr="00A15D31" w:rsidRDefault="006E67DF" w:rsidP="00A52239">
      <w:pPr>
        <w:pStyle w:val="Caption"/>
        <w:keepNext/>
        <w:jc w:val="center"/>
        <w:rPr>
          <w:rFonts w:cs="Times New Roman"/>
          <w:color w:val="auto"/>
        </w:rPr>
      </w:pPr>
      <w:r w:rsidRPr="00A15D31">
        <w:rPr>
          <w:rFonts w:cs="Times New Roman"/>
          <w:color w:val="auto"/>
        </w:rPr>
        <w:lastRenderedPageBreak/>
        <w:t xml:space="preserve">Table </w:t>
      </w:r>
      <w:r w:rsidRPr="00A15D31">
        <w:rPr>
          <w:rFonts w:cs="Times New Roman"/>
          <w:color w:val="auto"/>
        </w:rPr>
        <w:fldChar w:fldCharType="begin"/>
      </w:r>
      <w:r w:rsidRPr="00A15D31">
        <w:rPr>
          <w:rFonts w:cs="Times New Roman"/>
          <w:color w:val="auto"/>
        </w:rPr>
        <w:instrText xml:space="preserve"> SEQ Table \* ARABIC </w:instrText>
      </w:r>
      <w:r w:rsidRPr="00A15D31">
        <w:rPr>
          <w:rFonts w:cs="Times New Roman"/>
          <w:color w:val="auto"/>
        </w:rPr>
        <w:fldChar w:fldCharType="separate"/>
      </w:r>
      <w:r w:rsidR="00244063">
        <w:rPr>
          <w:rFonts w:cs="Times New Roman"/>
          <w:noProof/>
          <w:color w:val="auto"/>
        </w:rPr>
        <w:t>4</w:t>
      </w:r>
      <w:r w:rsidRPr="00A15D31">
        <w:rPr>
          <w:rFonts w:cs="Times New Roman"/>
          <w:color w:val="auto"/>
        </w:rPr>
        <w:fldChar w:fldCharType="end"/>
      </w:r>
      <w:bookmarkEnd w:id="7"/>
      <w:r w:rsidRPr="00A15D31">
        <w:rPr>
          <w:rFonts w:cs="Times New Roman"/>
          <w:color w:val="auto"/>
        </w:rPr>
        <w:t xml:space="preserve">: </w:t>
      </w:r>
      <w:r w:rsidRPr="00A15D31">
        <w:rPr>
          <w:rFonts w:cs="Times New Roman"/>
          <w:b w:val="0"/>
          <w:color w:val="auto"/>
        </w:rPr>
        <w:t>Sample list of processes including steam and space heating (Sp Ht) energy demand per industry-specific unit</w:t>
      </w:r>
      <w:r w:rsidR="00E404CD" w:rsidRPr="00A15D31">
        <w:rPr>
          <w:rFonts w:cs="Times New Roman"/>
          <w:b w:val="0"/>
          <w:color w:val="auto"/>
        </w:rPr>
        <w:t>.</w:t>
      </w:r>
    </w:p>
    <w:tbl>
      <w:tblPr>
        <w:tblW w:w="4992" w:type="pct"/>
        <w:tblCellMar>
          <w:left w:w="0" w:type="dxa"/>
          <w:right w:w="0" w:type="dxa"/>
        </w:tblCellMar>
        <w:tblLook w:val="0600" w:firstRow="0" w:lastRow="0" w:firstColumn="0" w:lastColumn="0" w:noHBand="1" w:noVBand="1"/>
      </w:tblPr>
      <w:tblGrid>
        <w:gridCol w:w="714"/>
        <w:gridCol w:w="942"/>
        <w:gridCol w:w="930"/>
        <w:gridCol w:w="2410"/>
        <w:gridCol w:w="960"/>
        <w:gridCol w:w="1013"/>
        <w:gridCol w:w="739"/>
        <w:gridCol w:w="681"/>
        <w:gridCol w:w="990"/>
      </w:tblGrid>
      <w:tr w:rsidR="006E67DF" w:rsidRPr="00537BCC" w14:paraId="40112660" w14:textId="77777777" w:rsidTr="008C14E2">
        <w:trPr>
          <w:trHeight w:val="259"/>
        </w:trPr>
        <w:tc>
          <w:tcPr>
            <w:tcW w:w="380" w:type="pct"/>
            <w:vMerge w:val="restart"/>
            <w:tcBorders>
              <w:top w:val="single" w:sz="8" w:space="0" w:color="000000"/>
              <w:left w:val="single" w:sz="8" w:space="0" w:color="000000"/>
              <w:right w:val="nil"/>
            </w:tcBorders>
            <w:shd w:val="clear" w:color="auto" w:fill="4F81BD" w:themeFill="accent1"/>
            <w:tcMar>
              <w:top w:w="17" w:type="dxa"/>
              <w:left w:w="17" w:type="dxa"/>
              <w:bottom w:w="0" w:type="dxa"/>
              <w:right w:w="17" w:type="dxa"/>
            </w:tcMar>
            <w:vAlign w:val="center"/>
            <w:hideMark/>
          </w:tcPr>
          <w:p w14:paraId="4F83D84F" w14:textId="77777777" w:rsidR="006E67DF" w:rsidRPr="00624427" w:rsidRDefault="006E67DF" w:rsidP="006E67DF">
            <w:pPr>
              <w:jc w:val="center"/>
              <w:rPr>
                <w:rFonts w:ascii="Arial" w:hAnsi="Arial" w:cs="Arial"/>
                <w:color w:val="FFFFFF" w:themeColor="background1"/>
                <w:sz w:val="18"/>
                <w:szCs w:val="18"/>
              </w:rPr>
            </w:pPr>
            <w:r w:rsidRPr="00624427">
              <w:rPr>
                <w:rFonts w:ascii="Arial" w:hAnsi="Arial" w:cs="Arial"/>
                <w:b/>
                <w:bCs/>
                <w:color w:val="FFFFFF" w:themeColor="background1"/>
                <w:sz w:val="18"/>
                <w:szCs w:val="18"/>
              </w:rPr>
              <w:t>SIC Code</w:t>
            </w:r>
          </w:p>
        </w:tc>
        <w:tc>
          <w:tcPr>
            <w:tcW w:w="502" w:type="pct"/>
            <w:vMerge w:val="restart"/>
            <w:tcBorders>
              <w:top w:val="single" w:sz="8" w:space="0" w:color="000000"/>
              <w:left w:val="nil"/>
              <w:right w:val="nil"/>
            </w:tcBorders>
            <w:shd w:val="clear" w:color="auto" w:fill="4F81BD" w:themeFill="accent1"/>
            <w:tcMar>
              <w:top w:w="17" w:type="dxa"/>
              <w:left w:w="17" w:type="dxa"/>
              <w:bottom w:w="0" w:type="dxa"/>
              <w:right w:w="17" w:type="dxa"/>
            </w:tcMar>
            <w:vAlign w:val="center"/>
            <w:hideMark/>
          </w:tcPr>
          <w:p w14:paraId="100E240C" w14:textId="77777777" w:rsidR="006E67DF" w:rsidRPr="00624427" w:rsidRDefault="006E67DF" w:rsidP="006E67DF">
            <w:pPr>
              <w:jc w:val="center"/>
              <w:rPr>
                <w:rFonts w:ascii="Arial" w:hAnsi="Arial" w:cs="Arial"/>
                <w:color w:val="FFFFFF" w:themeColor="background1"/>
                <w:sz w:val="18"/>
                <w:szCs w:val="18"/>
              </w:rPr>
            </w:pPr>
            <w:r w:rsidRPr="00624427">
              <w:rPr>
                <w:rFonts w:ascii="Arial" w:hAnsi="Arial" w:cs="Arial"/>
                <w:b/>
                <w:bCs/>
                <w:color w:val="FFFFFF" w:themeColor="background1"/>
                <w:sz w:val="18"/>
                <w:szCs w:val="18"/>
              </w:rPr>
              <w:t>Detailed SIC</w:t>
            </w:r>
          </w:p>
        </w:tc>
        <w:tc>
          <w:tcPr>
            <w:tcW w:w="496" w:type="pct"/>
            <w:vMerge w:val="restart"/>
            <w:tcBorders>
              <w:top w:val="single" w:sz="8" w:space="0" w:color="000000"/>
              <w:left w:val="nil"/>
              <w:right w:val="nil"/>
            </w:tcBorders>
            <w:shd w:val="clear" w:color="auto" w:fill="4F81BD" w:themeFill="accent1"/>
            <w:tcMar>
              <w:top w:w="17" w:type="dxa"/>
              <w:left w:w="17" w:type="dxa"/>
              <w:bottom w:w="0" w:type="dxa"/>
              <w:right w:w="17" w:type="dxa"/>
            </w:tcMar>
            <w:vAlign w:val="center"/>
            <w:hideMark/>
          </w:tcPr>
          <w:p w14:paraId="09898F91" w14:textId="77777777" w:rsidR="006E67DF" w:rsidRPr="00624427" w:rsidRDefault="006E67DF" w:rsidP="006E67DF">
            <w:pPr>
              <w:jc w:val="center"/>
              <w:rPr>
                <w:rFonts w:ascii="Arial" w:hAnsi="Arial" w:cs="Arial"/>
                <w:color w:val="FFFFFF" w:themeColor="background1"/>
                <w:sz w:val="18"/>
                <w:szCs w:val="18"/>
              </w:rPr>
            </w:pPr>
            <w:r w:rsidRPr="00624427">
              <w:rPr>
                <w:rFonts w:ascii="Arial" w:hAnsi="Arial" w:cs="Arial"/>
                <w:b/>
                <w:bCs/>
                <w:color w:val="FFFFFF" w:themeColor="background1"/>
                <w:sz w:val="18"/>
                <w:szCs w:val="18"/>
              </w:rPr>
              <w:t>NAICS Code</w:t>
            </w:r>
          </w:p>
        </w:tc>
        <w:tc>
          <w:tcPr>
            <w:tcW w:w="1285" w:type="pct"/>
            <w:vMerge w:val="restart"/>
            <w:tcBorders>
              <w:top w:val="single" w:sz="8" w:space="0" w:color="000000"/>
              <w:left w:val="nil"/>
              <w:right w:val="single" w:sz="8" w:space="0" w:color="000000"/>
            </w:tcBorders>
            <w:shd w:val="clear" w:color="auto" w:fill="4F81BD" w:themeFill="accent1"/>
            <w:tcMar>
              <w:top w:w="17" w:type="dxa"/>
              <w:left w:w="17" w:type="dxa"/>
              <w:bottom w:w="0" w:type="dxa"/>
              <w:right w:w="17" w:type="dxa"/>
            </w:tcMar>
            <w:vAlign w:val="center"/>
            <w:hideMark/>
          </w:tcPr>
          <w:p w14:paraId="7D5571C8" w14:textId="77777777" w:rsidR="006E67DF" w:rsidRPr="00624427" w:rsidRDefault="006E67DF" w:rsidP="006E67DF">
            <w:pPr>
              <w:jc w:val="center"/>
              <w:rPr>
                <w:rFonts w:ascii="Arial" w:hAnsi="Arial" w:cs="Arial"/>
                <w:color w:val="FFFFFF" w:themeColor="background1"/>
                <w:sz w:val="18"/>
                <w:szCs w:val="18"/>
              </w:rPr>
            </w:pPr>
            <w:r w:rsidRPr="00624427">
              <w:rPr>
                <w:rFonts w:ascii="Arial" w:hAnsi="Arial" w:cs="Arial"/>
                <w:b/>
                <w:bCs/>
                <w:color w:val="FFFFFF" w:themeColor="background1"/>
                <w:sz w:val="18"/>
                <w:szCs w:val="18"/>
              </w:rPr>
              <w:t>Process</w:t>
            </w:r>
          </w:p>
        </w:tc>
        <w:tc>
          <w:tcPr>
            <w:tcW w:w="1052" w:type="pct"/>
            <w:gridSpan w:val="2"/>
            <w:tcBorders>
              <w:top w:val="single" w:sz="8" w:space="0" w:color="000000"/>
              <w:left w:val="single" w:sz="8" w:space="0" w:color="000000"/>
              <w:bottom w:val="nil"/>
              <w:right w:val="single" w:sz="8" w:space="0" w:color="000000"/>
            </w:tcBorders>
            <w:shd w:val="clear" w:color="auto" w:fill="4F81BD" w:themeFill="accent1"/>
            <w:tcMar>
              <w:top w:w="17" w:type="dxa"/>
              <w:left w:w="17" w:type="dxa"/>
              <w:bottom w:w="0" w:type="dxa"/>
              <w:right w:w="17" w:type="dxa"/>
            </w:tcMar>
            <w:vAlign w:val="center"/>
            <w:hideMark/>
          </w:tcPr>
          <w:p w14:paraId="51FB0A21" w14:textId="77777777" w:rsidR="006E67DF" w:rsidRPr="00624427" w:rsidRDefault="006E67DF" w:rsidP="006E67DF">
            <w:pPr>
              <w:jc w:val="center"/>
              <w:rPr>
                <w:rFonts w:ascii="Arial" w:hAnsi="Arial" w:cs="Arial"/>
                <w:color w:val="FFFFFF" w:themeColor="background1"/>
                <w:sz w:val="18"/>
                <w:szCs w:val="18"/>
              </w:rPr>
            </w:pPr>
            <w:r w:rsidRPr="00624427">
              <w:rPr>
                <w:rFonts w:ascii="Arial" w:hAnsi="Arial" w:cs="Arial"/>
                <w:b/>
                <w:bCs/>
                <w:color w:val="FFFFFF" w:themeColor="background1"/>
                <w:sz w:val="18"/>
                <w:szCs w:val="18"/>
              </w:rPr>
              <w:t>Unit Operation</w:t>
            </w:r>
          </w:p>
        </w:tc>
        <w:tc>
          <w:tcPr>
            <w:tcW w:w="1286" w:type="pct"/>
            <w:gridSpan w:val="3"/>
            <w:tcBorders>
              <w:top w:val="single" w:sz="8" w:space="0" w:color="000000"/>
              <w:left w:val="single" w:sz="8" w:space="0" w:color="000000"/>
              <w:bottom w:val="nil"/>
              <w:right w:val="single" w:sz="8" w:space="0" w:color="000000"/>
            </w:tcBorders>
            <w:shd w:val="clear" w:color="auto" w:fill="4F81BD" w:themeFill="accent1"/>
            <w:tcMar>
              <w:top w:w="17" w:type="dxa"/>
              <w:left w:w="17" w:type="dxa"/>
              <w:bottom w:w="0" w:type="dxa"/>
              <w:right w:w="17" w:type="dxa"/>
            </w:tcMar>
            <w:vAlign w:val="center"/>
            <w:hideMark/>
          </w:tcPr>
          <w:p w14:paraId="26C07339" w14:textId="77777777" w:rsidR="006E67DF" w:rsidRPr="00624427" w:rsidRDefault="006E67DF" w:rsidP="006E67DF">
            <w:pPr>
              <w:jc w:val="center"/>
              <w:rPr>
                <w:rFonts w:ascii="Arial" w:hAnsi="Arial" w:cs="Arial"/>
                <w:color w:val="FFFFFF" w:themeColor="background1"/>
                <w:sz w:val="18"/>
                <w:szCs w:val="18"/>
              </w:rPr>
            </w:pPr>
            <w:r w:rsidRPr="00624427">
              <w:rPr>
                <w:rFonts w:ascii="Arial" w:hAnsi="Arial" w:cs="Arial"/>
                <w:b/>
                <w:bCs/>
                <w:color w:val="FFFFFF" w:themeColor="background1"/>
                <w:sz w:val="18"/>
                <w:szCs w:val="18"/>
              </w:rPr>
              <w:t>Outlet</w:t>
            </w:r>
          </w:p>
        </w:tc>
      </w:tr>
      <w:tr w:rsidR="001E1FD4" w:rsidRPr="00537BCC" w14:paraId="4E4D0DD6" w14:textId="77777777" w:rsidTr="008C14E2">
        <w:trPr>
          <w:trHeight w:val="259"/>
        </w:trPr>
        <w:tc>
          <w:tcPr>
            <w:tcW w:w="380" w:type="pct"/>
            <w:vMerge/>
            <w:tcBorders>
              <w:left w:val="single" w:sz="8" w:space="0" w:color="000000"/>
              <w:bottom w:val="single" w:sz="4" w:space="0" w:color="000000"/>
              <w:right w:val="nil"/>
            </w:tcBorders>
            <w:shd w:val="clear" w:color="auto" w:fill="4F81BD" w:themeFill="accent1"/>
            <w:tcMar>
              <w:top w:w="17" w:type="dxa"/>
              <w:left w:w="17" w:type="dxa"/>
              <w:bottom w:w="0" w:type="dxa"/>
              <w:right w:w="17" w:type="dxa"/>
            </w:tcMar>
            <w:vAlign w:val="center"/>
            <w:hideMark/>
          </w:tcPr>
          <w:p w14:paraId="6CFA1474" w14:textId="77777777" w:rsidR="006E67DF" w:rsidRPr="00624427" w:rsidRDefault="006E67DF" w:rsidP="006E67DF">
            <w:pPr>
              <w:jc w:val="center"/>
              <w:rPr>
                <w:rFonts w:ascii="Arial" w:hAnsi="Arial" w:cs="Arial"/>
                <w:color w:val="FFFFFF" w:themeColor="background1"/>
                <w:sz w:val="18"/>
                <w:szCs w:val="18"/>
              </w:rPr>
            </w:pPr>
          </w:p>
        </w:tc>
        <w:tc>
          <w:tcPr>
            <w:tcW w:w="502" w:type="pct"/>
            <w:vMerge/>
            <w:tcBorders>
              <w:left w:val="nil"/>
              <w:bottom w:val="single" w:sz="4" w:space="0" w:color="000000"/>
              <w:right w:val="nil"/>
            </w:tcBorders>
            <w:shd w:val="clear" w:color="auto" w:fill="4F81BD" w:themeFill="accent1"/>
            <w:tcMar>
              <w:top w:w="17" w:type="dxa"/>
              <w:left w:w="17" w:type="dxa"/>
              <w:bottom w:w="0" w:type="dxa"/>
              <w:right w:w="17" w:type="dxa"/>
            </w:tcMar>
            <w:vAlign w:val="center"/>
            <w:hideMark/>
          </w:tcPr>
          <w:p w14:paraId="50EF8F57" w14:textId="77777777" w:rsidR="006E67DF" w:rsidRPr="00624427" w:rsidRDefault="006E67DF" w:rsidP="006E67DF">
            <w:pPr>
              <w:jc w:val="center"/>
              <w:rPr>
                <w:rFonts w:ascii="Arial" w:hAnsi="Arial" w:cs="Arial"/>
                <w:color w:val="FFFFFF" w:themeColor="background1"/>
                <w:sz w:val="18"/>
                <w:szCs w:val="18"/>
              </w:rPr>
            </w:pPr>
          </w:p>
        </w:tc>
        <w:tc>
          <w:tcPr>
            <w:tcW w:w="496" w:type="pct"/>
            <w:vMerge/>
            <w:tcBorders>
              <w:left w:val="nil"/>
              <w:bottom w:val="single" w:sz="4" w:space="0" w:color="000000"/>
              <w:right w:val="nil"/>
            </w:tcBorders>
            <w:shd w:val="clear" w:color="auto" w:fill="4F81BD" w:themeFill="accent1"/>
            <w:tcMar>
              <w:top w:w="17" w:type="dxa"/>
              <w:left w:w="17" w:type="dxa"/>
              <w:bottom w:w="0" w:type="dxa"/>
              <w:right w:w="17" w:type="dxa"/>
            </w:tcMar>
            <w:vAlign w:val="center"/>
            <w:hideMark/>
          </w:tcPr>
          <w:p w14:paraId="115AD759" w14:textId="77777777" w:rsidR="006E67DF" w:rsidRPr="00624427" w:rsidRDefault="006E67DF" w:rsidP="006E67DF">
            <w:pPr>
              <w:jc w:val="center"/>
              <w:rPr>
                <w:rFonts w:ascii="Arial" w:hAnsi="Arial" w:cs="Arial"/>
                <w:color w:val="FFFFFF" w:themeColor="background1"/>
                <w:sz w:val="18"/>
                <w:szCs w:val="18"/>
              </w:rPr>
            </w:pPr>
          </w:p>
        </w:tc>
        <w:tc>
          <w:tcPr>
            <w:tcW w:w="1285" w:type="pct"/>
            <w:vMerge/>
            <w:tcBorders>
              <w:left w:val="nil"/>
              <w:bottom w:val="single" w:sz="4" w:space="0" w:color="000000"/>
              <w:right w:val="single" w:sz="8" w:space="0" w:color="000000"/>
            </w:tcBorders>
            <w:shd w:val="clear" w:color="auto" w:fill="4F81BD" w:themeFill="accent1"/>
            <w:tcMar>
              <w:top w:w="17" w:type="dxa"/>
              <w:left w:w="17" w:type="dxa"/>
              <w:bottom w:w="0" w:type="dxa"/>
              <w:right w:w="17" w:type="dxa"/>
            </w:tcMar>
            <w:vAlign w:val="center"/>
            <w:hideMark/>
          </w:tcPr>
          <w:p w14:paraId="65042388" w14:textId="77777777" w:rsidR="006E67DF" w:rsidRPr="00624427" w:rsidRDefault="006E67DF" w:rsidP="006E67DF">
            <w:pPr>
              <w:jc w:val="center"/>
              <w:rPr>
                <w:rFonts w:ascii="Arial" w:hAnsi="Arial" w:cs="Arial"/>
                <w:color w:val="FFFFFF" w:themeColor="background1"/>
                <w:sz w:val="18"/>
                <w:szCs w:val="18"/>
              </w:rPr>
            </w:pPr>
          </w:p>
        </w:tc>
        <w:tc>
          <w:tcPr>
            <w:tcW w:w="512" w:type="pct"/>
            <w:tcBorders>
              <w:top w:val="nil"/>
              <w:left w:val="single" w:sz="8" w:space="0" w:color="000000"/>
              <w:bottom w:val="single" w:sz="4" w:space="0" w:color="000000"/>
              <w:right w:val="nil"/>
            </w:tcBorders>
            <w:shd w:val="clear" w:color="auto" w:fill="4F81BD" w:themeFill="accent1"/>
            <w:tcMar>
              <w:top w:w="17" w:type="dxa"/>
              <w:left w:w="17" w:type="dxa"/>
              <w:bottom w:w="0" w:type="dxa"/>
              <w:right w:w="17" w:type="dxa"/>
            </w:tcMar>
            <w:vAlign w:val="center"/>
            <w:hideMark/>
          </w:tcPr>
          <w:p w14:paraId="6AD40D11" w14:textId="77777777" w:rsidR="006E67DF" w:rsidRPr="00624427" w:rsidRDefault="006E67DF" w:rsidP="006E67DF">
            <w:pPr>
              <w:jc w:val="center"/>
              <w:rPr>
                <w:rFonts w:ascii="Arial" w:hAnsi="Arial" w:cs="Arial"/>
                <w:color w:val="FFFFFF" w:themeColor="background1"/>
                <w:sz w:val="18"/>
                <w:szCs w:val="18"/>
              </w:rPr>
            </w:pPr>
            <w:r w:rsidRPr="00624427">
              <w:rPr>
                <w:rFonts w:ascii="Arial" w:hAnsi="Arial" w:cs="Arial"/>
                <w:b/>
                <w:bCs/>
                <w:color w:val="FFFFFF" w:themeColor="background1"/>
                <w:sz w:val="18"/>
                <w:szCs w:val="18"/>
              </w:rPr>
              <w:t>Desc.</w:t>
            </w:r>
          </w:p>
        </w:tc>
        <w:tc>
          <w:tcPr>
            <w:tcW w:w="540" w:type="pct"/>
            <w:tcBorders>
              <w:top w:val="nil"/>
              <w:left w:val="nil"/>
              <w:bottom w:val="single" w:sz="4" w:space="0" w:color="000000"/>
              <w:right w:val="single" w:sz="8" w:space="0" w:color="000000"/>
            </w:tcBorders>
            <w:shd w:val="clear" w:color="auto" w:fill="4F81BD" w:themeFill="accent1"/>
            <w:tcMar>
              <w:top w:w="17" w:type="dxa"/>
              <w:left w:w="17" w:type="dxa"/>
              <w:bottom w:w="0" w:type="dxa"/>
              <w:right w:w="17" w:type="dxa"/>
            </w:tcMar>
            <w:vAlign w:val="center"/>
            <w:hideMark/>
          </w:tcPr>
          <w:p w14:paraId="64063E42" w14:textId="17D90C5D" w:rsidR="006E67DF" w:rsidRPr="00624427" w:rsidRDefault="006E67DF" w:rsidP="006E67DF">
            <w:pPr>
              <w:jc w:val="center"/>
              <w:rPr>
                <w:rFonts w:ascii="Arial" w:hAnsi="Arial" w:cs="Arial"/>
                <w:color w:val="FFFFFF" w:themeColor="background1"/>
                <w:sz w:val="18"/>
                <w:szCs w:val="18"/>
              </w:rPr>
            </w:pPr>
            <w:r w:rsidRPr="00624427">
              <w:rPr>
                <w:rFonts w:ascii="Arial" w:hAnsi="Arial" w:cs="Arial"/>
                <w:b/>
                <w:bCs/>
                <w:color w:val="FFFFFF" w:themeColor="background1"/>
                <w:sz w:val="18"/>
                <w:szCs w:val="18"/>
              </w:rPr>
              <w:t>Temp (</w:t>
            </w:r>
            <w:r w:rsidR="008C14E2">
              <w:rPr>
                <w:rFonts w:ascii="Arial" w:hAnsi="Arial" w:cs="Arial"/>
                <w:b/>
                <w:bCs/>
                <w:color w:val="FFFFFF" w:themeColor="background1"/>
                <w:sz w:val="18"/>
                <w:szCs w:val="18"/>
              </w:rPr>
              <w:t>°</w:t>
            </w:r>
            <w:r w:rsidR="00EA0AAC">
              <w:rPr>
                <w:rFonts w:ascii="Arial" w:hAnsi="Arial" w:cs="Arial"/>
                <w:b/>
                <w:bCs/>
                <w:color w:val="FFFFFF" w:themeColor="background1"/>
                <w:sz w:val="18"/>
                <w:szCs w:val="18"/>
              </w:rPr>
              <w:t>C</w:t>
            </w:r>
            <w:r w:rsidRPr="00624427">
              <w:rPr>
                <w:rFonts w:ascii="Arial" w:hAnsi="Arial" w:cs="Arial"/>
                <w:b/>
                <w:bCs/>
                <w:color w:val="FFFFFF" w:themeColor="background1"/>
                <w:sz w:val="18"/>
                <w:szCs w:val="18"/>
              </w:rPr>
              <w:t>)</w:t>
            </w:r>
          </w:p>
        </w:tc>
        <w:tc>
          <w:tcPr>
            <w:tcW w:w="394" w:type="pct"/>
            <w:tcBorders>
              <w:top w:val="nil"/>
              <w:left w:val="single" w:sz="8" w:space="0" w:color="000000"/>
              <w:bottom w:val="single" w:sz="4" w:space="0" w:color="000000"/>
              <w:right w:val="nil"/>
            </w:tcBorders>
            <w:shd w:val="clear" w:color="auto" w:fill="4F81BD" w:themeFill="accent1"/>
            <w:tcMar>
              <w:top w:w="17" w:type="dxa"/>
              <w:left w:w="17" w:type="dxa"/>
              <w:bottom w:w="0" w:type="dxa"/>
              <w:right w:w="17" w:type="dxa"/>
            </w:tcMar>
            <w:vAlign w:val="center"/>
            <w:hideMark/>
          </w:tcPr>
          <w:p w14:paraId="5E8F5832" w14:textId="77777777" w:rsidR="006E67DF" w:rsidRPr="00624427" w:rsidRDefault="006E67DF" w:rsidP="006E67DF">
            <w:pPr>
              <w:jc w:val="center"/>
              <w:rPr>
                <w:rFonts w:ascii="Arial" w:hAnsi="Arial" w:cs="Arial"/>
                <w:color w:val="FFFFFF" w:themeColor="background1"/>
                <w:sz w:val="18"/>
                <w:szCs w:val="18"/>
              </w:rPr>
            </w:pPr>
            <w:r w:rsidRPr="00624427">
              <w:rPr>
                <w:rFonts w:ascii="Arial" w:hAnsi="Arial" w:cs="Arial"/>
                <w:b/>
                <w:bCs/>
                <w:color w:val="FFFFFF" w:themeColor="background1"/>
                <w:sz w:val="18"/>
                <w:szCs w:val="18"/>
              </w:rPr>
              <w:t>Flow</w:t>
            </w:r>
          </w:p>
        </w:tc>
        <w:tc>
          <w:tcPr>
            <w:tcW w:w="363" w:type="pct"/>
            <w:tcBorders>
              <w:top w:val="nil"/>
              <w:left w:val="nil"/>
              <w:bottom w:val="single" w:sz="4" w:space="0" w:color="000000"/>
              <w:right w:val="nil"/>
            </w:tcBorders>
            <w:shd w:val="clear" w:color="auto" w:fill="4F81BD" w:themeFill="accent1"/>
            <w:tcMar>
              <w:top w:w="17" w:type="dxa"/>
              <w:left w:w="17" w:type="dxa"/>
              <w:bottom w:w="0" w:type="dxa"/>
              <w:right w:w="17" w:type="dxa"/>
            </w:tcMar>
            <w:vAlign w:val="center"/>
            <w:hideMark/>
          </w:tcPr>
          <w:p w14:paraId="3C37576C" w14:textId="0E8B11D4" w:rsidR="006E67DF" w:rsidRPr="00624427" w:rsidRDefault="006E67DF" w:rsidP="006E67DF">
            <w:pPr>
              <w:jc w:val="center"/>
              <w:rPr>
                <w:rFonts w:ascii="Arial" w:hAnsi="Arial" w:cs="Arial"/>
                <w:color w:val="FFFFFF" w:themeColor="background1"/>
                <w:sz w:val="18"/>
                <w:szCs w:val="18"/>
              </w:rPr>
            </w:pPr>
            <w:r w:rsidRPr="00624427">
              <w:rPr>
                <w:rFonts w:ascii="Arial" w:hAnsi="Arial" w:cs="Arial"/>
                <w:b/>
                <w:bCs/>
                <w:color w:val="FFFFFF" w:themeColor="background1"/>
                <w:sz w:val="18"/>
                <w:szCs w:val="18"/>
              </w:rPr>
              <w:t>Temp (</w:t>
            </w:r>
            <w:r w:rsidR="008C14E2">
              <w:rPr>
                <w:rFonts w:ascii="Arial" w:hAnsi="Arial" w:cs="Arial"/>
                <w:b/>
                <w:bCs/>
                <w:color w:val="FFFFFF" w:themeColor="background1"/>
                <w:sz w:val="18"/>
                <w:szCs w:val="18"/>
              </w:rPr>
              <w:t>°</w:t>
            </w:r>
            <w:r w:rsidR="001C7AB4">
              <w:rPr>
                <w:rFonts w:ascii="Arial" w:hAnsi="Arial" w:cs="Arial"/>
                <w:b/>
                <w:bCs/>
                <w:color w:val="FFFFFF" w:themeColor="background1"/>
                <w:sz w:val="18"/>
                <w:szCs w:val="18"/>
              </w:rPr>
              <w:t>C</w:t>
            </w:r>
            <w:r w:rsidRPr="00624427">
              <w:rPr>
                <w:rFonts w:ascii="Arial" w:hAnsi="Arial" w:cs="Arial"/>
                <w:b/>
                <w:bCs/>
                <w:color w:val="FFFFFF" w:themeColor="background1"/>
                <w:sz w:val="18"/>
                <w:szCs w:val="18"/>
              </w:rPr>
              <w:t>)</w:t>
            </w:r>
          </w:p>
        </w:tc>
        <w:tc>
          <w:tcPr>
            <w:tcW w:w="529" w:type="pct"/>
            <w:tcBorders>
              <w:top w:val="nil"/>
              <w:left w:val="nil"/>
              <w:bottom w:val="single" w:sz="4" w:space="0" w:color="000000"/>
              <w:right w:val="single" w:sz="8" w:space="0" w:color="000000"/>
            </w:tcBorders>
            <w:shd w:val="clear" w:color="auto" w:fill="4F81BD" w:themeFill="accent1"/>
            <w:tcMar>
              <w:top w:w="17" w:type="dxa"/>
              <w:left w:w="17" w:type="dxa"/>
              <w:bottom w:w="0" w:type="dxa"/>
              <w:right w:w="17" w:type="dxa"/>
            </w:tcMar>
            <w:vAlign w:val="center"/>
            <w:hideMark/>
          </w:tcPr>
          <w:p w14:paraId="32219B3C" w14:textId="7FC00C7E" w:rsidR="006E67DF" w:rsidRPr="00624427" w:rsidRDefault="006E67DF" w:rsidP="006E67DF">
            <w:pPr>
              <w:jc w:val="center"/>
              <w:rPr>
                <w:rFonts w:ascii="Arial" w:hAnsi="Arial" w:cs="Arial"/>
                <w:color w:val="FFFFFF" w:themeColor="background1"/>
                <w:sz w:val="18"/>
                <w:szCs w:val="18"/>
              </w:rPr>
            </w:pPr>
            <w:r w:rsidRPr="00624427">
              <w:rPr>
                <w:rFonts w:ascii="Arial" w:hAnsi="Arial" w:cs="Arial"/>
                <w:b/>
                <w:bCs/>
                <w:color w:val="FFFFFF" w:themeColor="background1"/>
                <w:sz w:val="18"/>
                <w:szCs w:val="18"/>
              </w:rPr>
              <w:t>Energy (</w:t>
            </w:r>
            <w:r w:rsidR="008F7D6F">
              <w:rPr>
                <w:rFonts w:ascii="Arial" w:hAnsi="Arial" w:cs="Arial"/>
                <w:b/>
                <w:bCs/>
                <w:color w:val="FFFFFF" w:themeColor="background1"/>
                <w:sz w:val="18"/>
                <w:szCs w:val="18"/>
              </w:rPr>
              <w:t>Btu</w:t>
            </w:r>
            <w:r w:rsidRPr="00624427">
              <w:rPr>
                <w:rFonts w:ascii="Arial" w:hAnsi="Arial" w:cs="Arial"/>
                <w:b/>
                <w:bCs/>
                <w:color w:val="FFFFFF" w:themeColor="background1"/>
                <w:sz w:val="18"/>
                <w:szCs w:val="18"/>
              </w:rPr>
              <w:t>)</w:t>
            </w:r>
          </w:p>
        </w:tc>
      </w:tr>
      <w:tr w:rsidR="006E67DF" w:rsidRPr="00537BCC" w14:paraId="19190FF4" w14:textId="77777777" w:rsidTr="008C14E2">
        <w:trPr>
          <w:trHeight w:val="216"/>
        </w:trPr>
        <w:tc>
          <w:tcPr>
            <w:tcW w:w="380" w:type="pct"/>
            <w:vMerge w:val="restart"/>
            <w:tcBorders>
              <w:top w:val="single" w:sz="4" w:space="0" w:color="000000"/>
              <w:left w:val="single" w:sz="8" w:space="0" w:color="000000"/>
              <w:right w:val="nil"/>
            </w:tcBorders>
            <w:shd w:val="clear" w:color="auto" w:fill="auto"/>
            <w:tcMar>
              <w:top w:w="17" w:type="dxa"/>
              <w:left w:w="17" w:type="dxa"/>
              <w:bottom w:w="0" w:type="dxa"/>
              <w:right w:w="17" w:type="dxa"/>
            </w:tcMar>
            <w:vAlign w:val="center"/>
            <w:hideMark/>
          </w:tcPr>
          <w:p w14:paraId="7D1897B1"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2011</w:t>
            </w:r>
          </w:p>
        </w:tc>
        <w:tc>
          <w:tcPr>
            <w:tcW w:w="502" w:type="pct"/>
            <w:vMerge w:val="restart"/>
            <w:tcBorders>
              <w:top w:val="single" w:sz="4" w:space="0" w:color="000000"/>
              <w:left w:val="nil"/>
              <w:right w:val="nil"/>
            </w:tcBorders>
            <w:shd w:val="clear" w:color="auto" w:fill="auto"/>
            <w:tcMar>
              <w:top w:w="17" w:type="dxa"/>
              <w:left w:w="17" w:type="dxa"/>
              <w:bottom w:w="0" w:type="dxa"/>
              <w:right w:w="17" w:type="dxa"/>
            </w:tcMar>
            <w:vAlign w:val="center"/>
            <w:hideMark/>
          </w:tcPr>
          <w:p w14:paraId="3380500C"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2011</w:t>
            </w:r>
          </w:p>
        </w:tc>
        <w:tc>
          <w:tcPr>
            <w:tcW w:w="496" w:type="pct"/>
            <w:vMerge w:val="restart"/>
            <w:tcBorders>
              <w:top w:val="single" w:sz="4" w:space="0" w:color="000000"/>
              <w:left w:val="nil"/>
              <w:right w:val="nil"/>
            </w:tcBorders>
            <w:shd w:val="clear" w:color="auto" w:fill="auto"/>
            <w:tcMar>
              <w:top w:w="17" w:type="dxa"/>
              <w:left w:w="17" w:type="dxa"/>
              <w:bottom w:w="0" w:type="dxa"/>
              <w:right w:w="17" w:type="dxa"/>
            </w:tcMar>
            <w:vAlign w:val="center"/>
            <w:hideMark/>
          </w:tcPr>
          <w:p w14:paraId="5C8BA1D1"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311611</w:t>
            </w:r>
          </w:p>
        </w:tc>
        <w:tc>
          <w:tcPr>
            <w:tcW w:w="1285" w:type="pct"/>
            <w:vMerge w:val="restart"/>
            <w:tcBorders>
              <w:top w:val="single" w:sz="4" w:space="0" w:color="000000"/>
              <w:left w:val="nil"/>
              <w:right w:val="single" w:sz="8" w:space="0" w:color="000000"/>
            </w:tcBorders>
            <w:shd w:val="clear" w:color="auto" w:fill="auto"/>
            <w:tcMar>
              <w:top w:w="17" w:type="dxa"/>
              <w:left w:w="17" w:type="dxa"/>
              <w:bottom w:w="0" w:type="dxa"/>
              <w:right w:w="17" w:type="dxa"/>
            </w:tcMar>
            <w:vAlign w:val="center"/>
            <w:hideMark/>
          </w:tcPr>
          <w:p w14:paraId="73CBB75F"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Meat Packing Plants</w:t>
            </w:r>
          </w:p>
        </w:tc>
        <w:tc>
          <w:tcPr>
            <w:tcW w:w="512" w:type="pct"/>
            <w:vMerge w:val="restart"/>
            <w:tcBorders>
              <w:top w:val="single" w:sz="4" w:space="0" w:color="000000"/>
              <w:left w:val="single" w:sz="8" w:space="0" w:color="000000"/>
              <w:right w:val="nil"/>
            </w:tcBorders>
            <w:shd w:val="clear" w:color="auto" w:fill="auto"/>
            <w:tcMar>
              <w:top w:w="17" w:type="dxa"/>
              <w:left w:w="17" w:type="dxa"/>
              <w:bottom w:w="0" w:type="dxa"/>
              <w:right w:w="17" w:type="dxa"/>
            </w:tcMar>
            <w:vAlign w:val="center"/>
            <w:hideMark/>
          </w:tcPr>
          <w:p w14:paraId="6946BFA7"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Boiler</w:t>
            </w:r>
          </w:p>
        </w:tc>
        <w:tc>
          <w:tcPr>
            <w:tcW w:w="540" w:type="pct"/>
            <w:vMerge w:val="restart"/>
            <w:tcBorders>
              <w:top w:val="single" w:sz="4" w:space="0" w:color="000000"/>
              <w:left w:val="nil"/>
              <w:right w:val="single" w:sz="8" w:space="0" w:color="000000"/>
            </w:tcBorders>
            <w:shd w:val="clear" w:color="auto" w:fill="auto"/>
            <w:tcMar>
              <w:top w:w="17" w:type="dxa"/>
              <w:left w:w="17" w:type="dxa"/>
              <w:bottom w:w="0" w:type="dxa"/>
              <w:right w:w="17" w:type="dxa"/>
            </w:tcMar>
            <w:vAlign w:val="center"/>
            <w:hideMark/>
          </w:tcPr>
          <w:p w14:paraId="5A336B84" w14:textId="757D1F88"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394" w:type="pct"/>
            <w:tcBorders>
              <w:top w:val="single" w:sz="4" w:space="0" w:color="000000"/>
              <w:left w:val="single" w:sz="8" w:space="0" w:color="000000"/>
              <w:bottom w:val="nil"/>
              <w:right w:val="nil"/>
            </w:tcBorders>
            <w:shd w:val="clear" w:color="auto" w:fill="auto"/>
            <w:tcMar>
              <w:top w:w="17" w:type="dxa"/>
              <w:left w:w="17" w:type="dxa"/>
              <w:bottom w:w="0" w:type="dxa"/>
              <w:right w:w="17" w:type="dxa"/>
            </w:tcMar>
            <w:vAlign w:val="center"/>
            <w:hideMark/>
          </w:tcPr>
          <w:p w14:paraId="01B09ED8"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Steam</w:t>
            </w:r>
          </w:p>
        </w:tc>
        <w:tc>
          <w:tcPr>
            <w:tcW w:w="363" w:type="pct"/>
            <w:tcBorders>
              <w:top w:val="single" w:sz="4" w:space="0" w:color="000000"/>
              <w:left w:val="nil"/>
              <w:bottom w:val="nil"/>
              <w:right w:val="nil"/>
            </w:tcBorders>
            <w:shd w:val="clear" w:color="auto" w:fill="auto"/>
            <w:tcMar>
              <w:top w:w="17" w:type="dxa"/>
              <w:left w:w="17" w:type="dxa"/>
              <w:bottom w:w="0" w:type="dxa"/>
              <w:right w:w="17" w:type="dxa"/>
            </w:tcMar>
            <w:vAlign w:val="center"/>
            <w:hideMark/>
          </w:tcPr>
          <w:p w14:paraId="6FCA698E" w14:textId="26DCB3AF"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529" w:type="pct"/>
            <w:tcBorders>
              <w:top w:val="single" w:sz="4" w:space="0" w:color="000000"/>
              <w:left w:val="nil"/>
              <w:bottom w:val="nil"/>
              <w:right w:val="single" w:sz="8" w:space="0" w:color="000000"/>
            </w:tcBorders>
            <w:shd w:val="clear" w:color="auto" w:fill="auto"/>
            <w:tcMar>
              <w:top w:w="17" w:type="dxa"/>
              <w:left w:w="17" w:type="dxa"/>
              <w:bottom w:w="0" w:type="dxa"/>
              <w:right w:w="17" w:type="dxa"/>
            </w:tcMar>
            <w:vAlign w:val="center"/>
            <w:hideMark/>
          </w:tcPr>
          <w:p w14:paraId="4340696B"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895.5</w:t>
            </w:r>
          </w:p>
        </w:tc>
      </w:tr>
      <w:tr w:rsidR="006E67DF" w:rsidRPr="00537BCC" w14:paraId="3B692216" w14:textId="77777777" w:rsidTr="008C14E2">
        <w:trPr>
          <w:trHeight w:val="216"/>
        </w:trPr>
        <w:tc>
          <w:tcPr>
            <w:tcW w:w="380" w:type="pct"/>
            <w:vMerge/>
            <w:tcBorders>
              <w:left w:val="single" w:sz="8" w:space="0" w:color="000000"/>
              <w:right w:val="nil"/>
            </w:tcBorders>
            <w:shd w:val="clear" w:color="auto" w:fill="auto"/>
            <w:tcMar>
              <w:top w:w="17" w:type="dxa"/>
              <w:left w:w="17" w:type="dxa"/>
              <w:bottom w:w="0" w:type="dxa"/>
              <w:right w:w="17" w:type="dxa"/>
            </w:tcMar>
            <w:vAlign w:val="center"/>
            <w:hideMark/>
          </w:tcPr>
          <w:p w14:paraId="7185D48F" w14:textId="77777777" w:rsidR="006E67DF" w:rsidRPr="00537BCC" w:rsidRDefault="006E67DF" w:rsidP="006E67DF">
            <w:pPr>
              <w:jc w:val="center"/>
              <w:rPr>
                <w:rFonts w:ascii="Arial" w:hAnsi="Arial" w:cs="Arial"/>
                <w:sz w:val="18"/>
                <w:szCs w:val="18"/>
              </w:rPr>
            </w:pPr>
          </w:p>
        </w:tc>
        <w:tc>
          <w:tcPr>
            <w:tcW w:w="502" w:type="pct"/>
            <w:vMerge/>
            <w:tcBorders>
              <w:left w:val="nil"/>
              <w:right w:val="nil"/>
            </w:tcBorders>
            <w:shd w:val="clear" w:color="auto" w:fill="auto"/>
            <w:tcMar>
              <w:top w:w="17" w:type="dxa"/>
              <w:left w:w="17" w:type="dxa"/>
              <w:bottom w:w="0" w:type="dxa"/>
              <w:right w:w="17" w:type="dxa"/>
            </w:tcMar>
            <w:vAlign w:val="center"/>
            <w:hideMark/>
          </w:tcPr>
          <w:p w14:paraId="363878BF" w14:textId="77777777" w:rsidR="006E67DF" w:rsidRPr="00537BCC" w:rsidRDefault="006E67DF" w:rsidP="006E67DF">
            <w:pPr>
              <w:jc w:val="center"/>
              <w:rPr>
                <w:rFonts w:ascii="Arial" w:hAnsi="Arial" w:cs="Arial"/>
                <w:sz w:val="18"/>
                <w:szCs w:val="18"/>
              </w:rPr>
            </w:pPr>
          </w:p>
        </w:tc>
        <w:tc>
          <w:tcPr>
            <w:tcW w:w="496" w:type="pct"/>
            <w:vMerge/>
            <w:tcBorders>
              <w:left w:val="nil"/>
              <w:right w:val="nil"/>
            </w:tcBorders>
            <w:shd w:val="clear" w:color="auto" w:fill="auto"/>
            <w:tcMar>
              <w:top w:w="17" w:type="dxa"/>
              <w:left w:w="17" w:type="dxa"/>
              <w:bottom w:w="0" w:type="dxa"/>
              <w:right w:w="17" w:type="dxa"/>
            </w:tcMar>
            <w:vAlign w:val="center"/>
            <w:hideMark/>
          </w:tcPr>
          <w:p w14:paraId="2F7D0889" w14:textId="77777777" w:rsidR="006E67DF" w:rsidRPr="00537BCC" w:rsidRDefault="006E67DF" w:rsidP="006E67DF">
            <w:pPr>
              <w:jc w:val="center"/>
              <w:rPr>
                <w:rFonts w:ascii="Arial" w:hAnsi="Arial" w:cs="Arial"/>
                <w:sz w:val="18"/>
                <w:szCs w:val="18"/>
              </w:rPr>
            </w:pPr>
          </w:p>
        </w:tc>
        <w:tc>
          <w:tcPr>
            <w:tcW w:w="1285" w:type="pct"/>
            <w:vMerge/>
            <w:tcBorders>
              <w:left w:val="nil"/>
              <w:right w:val="single" w:sz="8" w:space="0" w:color="000000"/>
            </w:tcBorders>
            <w:shd w:val="clear" w:color="auto" w:fill="auto"/>
            <w:tcMar>
              <w:top w:w="17" w:type="dxa"/>
              <w:left w:w="17" w:type="dxa"/>
              <w:bottom w:w="0" w:type="dxa"/>
              <w:right w:w="17" w:type="dxa"/>
            </w:tcMar>
            <w:vAlign w:val="center"/>
            <w:hideMark/>
          </w:tcPr>
          <w:p w14:paraId="6ABD3EBE" w14:textId="77777777" w:rsidR="006E67DF" w:rsidRPr="00537BCC" w:rsidRDefault="006E67DF" w:rsidP="006E67DF">
            <w:pPr>
              <w:jc w:val="center"/>
              <w:rPr>
                <w:rFonts w:ascii="Arial" w:hAnsi="Arial" w:cs="Arial"/>
                <w:sz w:val="18"/>
                <w:szCs w:val="18"/>
              </w:rPr>
            </w:pPr>
          </w:p>
        </w:tc>
        <w:tc>
          <w:tcPr>
            <w:tcW w:w="512" w:type="pct"/>
            <w:vMerge/>
            <w:tcBorders>
              <w:left w:val="single" w:sz="8" w:space="0" w:color="000000"/>
              <w:right w:val="nil"/>
            </w:tcBorders>
            <w:shd w:val="clear" w:color="auto" w:fill="auto"/>
            <w:tcMar>
              <w:top w:w="17" w:type="dxa"/>
              <w:left w:w="17" w:type="dxa"/>
              <w:bottom w:w="0" w:type="dxa"/>
              <w:right w:w="17" w:type="dxa"/>
            </w:tcMar>
            <w:vAlign w:val="center"/>
            <w:hideMark/>
          </w:tcPr>
          <w:p w14:paraId="791CEA18" w14:textId="77777777" w:rsidR="006E67DF" w:rsidRPr="00537BCC" w:rsidRDefault="006E67DF" w:rsidP="006E67DF">
            <w:pPr>
              <w:jc w:val="center"/>
              <w:rPr>
                <w:rFonts w:ascii="Arial" w:hAnsi="Arial" w:cs="Arial"/>
                <w:sz w:val="18"/>
                <w:szCs w:val="18"/>
              </w:rPr>
            </w:pPr>
          </w:p>
        </w:tc>
        <w:tc>
          <w:tcPr>
            <w:tcW w:w="540" w:type="pct"/>
            <w:vMerge/>
            <w:tcBorders>
              <w:left w:val="nil"/>
              <w:right w:val="single" w:sz="8" w:space="0" w:color="000000"/>
            </w:tcBorders>
            <w:shd w:val="clear" w:color="auto" w:fill="auto"/>
            <w:tcMar>
              <w:top w:w="17" w:type="dxa"/>
              <w:left w:w="17" w:type="dxa"/>
              <w:bottom w:w="0" w:type="dxa"/>
              <w:right w:w="17" w:type="dxa"/>
            </w:tcMar>
            <w:vAlign w:val="center"/>
            <w:hideMark/>
          </w:tcPr>
          <w:p w14:paraId="654D8A36" w14:textId="77777777" w:rsidR="006E67DF" w:rsidRPr="00537BCC" w:rsidRDefault="006E67DF" w:rsidP="006E67DF">
            <w:pPr>
              <w:jc w:val="center"/>
              <w:rPr>
                <w:rFonts w:ascii="Arial" w:hAnsi="Arial" w:cs="Arial"/>
                <w:sz w:val="18"/>
                <w:szCs w:val="18"/>
              </w:rPr>
            </w:pPr>
          </w:p>
        </w:tc>
        <w:tc>
          <w:tcPr>
            <w:tcW w:w="394" w:type="pct"/>
            <w:tcBorders>
              <w:top w:val="nil"/>
              <w:left w:val="single" w:sz="8" w:space="0" w:color="000000"/>
              <w:bottom w:val="nil"/>
              <w:right w:val="nil"/>
            </w:tcBorders>
            <w:shd w:val="clear" w:color="auto" w:fill="auto"/>
            <w:tcMar>
              <w:top w:w="17" w:type="dxa"/>
              <w:left w:w="17" w:type="dxa"/>
              <w:bottom w:w="0" w:type="dxa"/>
              <w:right w:w="17" w:type="dxa"/>
            </w:tcMar>
            <w:vAlign w:val="center"/>
            <w:hideMark/>
          </w:tcPr>
          <w:p w14:paraId="6ABC1E3E"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Sp Ht</w:t>
            </w:r>
          </w:p>
        </w:tc>
        <w:tc>
          <w:tcPr>
            <w:tcW w:w="363" w:type="pct"/>
            <w:tcBorders>
              <w:top w:val="nil"/>
              <w:left w:val="nil"/>
              <w:bottom w:val="nil"/>
              <w:right w:val="nil"/>
            </w:tcBorders>
            <w:shd w:val="clear" w:color="auto" w:fill="auto"/>
            <w:tcMar>
              <w:top w:w="17" w:type="dxa"/>
              <w:left w:w="17" w:type="dxa"/>
              <w:bottom w:w="0" w:type="dxa"/>
              <w:right w:w="17" w:type="dxa"/>
            </w:tcMar>
            <w:vAlign w:val="center"/>
            <w:hideMark/>
          </w:tcPr>
          <w:p w14:paraId="4DE12E8D" w14:textId="56938C60"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529" w:type="pct"/>
            <w:tcBorders>
              <w:top w:val="nil"/>
              <w:left w:val="nil"/>
              <w:bottom w:val="nil"/>
              <w:right w:val="single" w:sz="8" w:space="0" w:color="000000"/>
            </w:tcBorders>
            <w:shd w:val="clear" w:color="auto" w:fill="auto"/>
            <w:tcMar>
              <w:top w:w="17" w:type="dxa"/>
              <w:left w:w="17" w:type="dxa"/>
              <w:bottom w:w="0" w:type="dxa"/>
              <w:right w:w="17" w:type="dxa"/>
            </w:tcMar>
            <w:vAlign w:val="center"/>
            <w:hideMark/>
          </w:tcPr>
          <w:p w14:paraId="52C3C4FE"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46</w:t>
            </w:r>
          </w:p>
        </w:tc>
      </w:tr>
      <w:tr w:rsidR="006E67DF" w:rsidRPr="00537BCC" w14:paraId="7FAA9C1D" w14:textId="77777777" w:rsidTr="008C14E2">
        <w:trPr>
          <w:trHeight w:val="216"/>
        </w:trPr>
        <w:tc>
          <w:tcPr>
            <w:tcW w:w="380" w:type="pct"/>
            <w:vMerge w:val="restart"/>
            <w:tcBorders>
              <w:top w:val="single" w:sz="4" w:space="0" w:color="000000"/>
              <w:left w:val="single" w:sz="8" w:space="0" w:color="000000"/>
              <w:right w:val="nil"/>
            </w:tcBorders>
            <w:shd w:val="clear" w:color="auto" w:fill="auto"/>
            <w:tcMar>
              <w:top w:w="17" w:type="dxa"/>
              <w:left w:w="17" w:type="dxa"/>
              <w:bottom w:w="0" w:type="dxa"/>
              <w:right w:w="17" w:type="dxa"/>
            </w:tcMar>
            <w:vAlign w:val="center"/>
            <w:hideMark/>
          </w:tcPr>
          <w:p w14:paraId="4B4D695A"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2026</w:t>
            </w:r>
          </w:p>
        </w:tc>
        <w:tc>
          <w:tcPr>
            <w:tcW w:w="502" w:type="pct"/>
            <w:vMerge w:val="restart"/>
            <w:tcBorders>
              <w:top w:val="single" w:sz="4" w:space="0" w:color="000000"/>
              <w:left w:val="nil"/>
              <w:right w:val="nil"/>
            </w:tcBorders>
            <w:shd w:val="clear" w:color="auto" w:fill="auto"/>
            <w:tcMar>
              <w:top w:w="17" w:type="dxa"/>
              <w:left w:w="17" w:type="dxa"/>
              <w:bottom w:w="0" w:type="dxa"/>
              <w:right w:w="17" w:type="dxa"/>
            </w:tcMar>
            <w:vAlign w:val="center"/>
            <w:hideMark/>
          </w:tcPr>
          <w:p w14:paraId="73CF86D8"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2026</w:t>
            </w:r>
          </w:p>
        </w:tc>
        <w:tc>
          <w:tcPr>
            <w:tcW w:w="496" w:type="pct"/>
            <w:vMerge w:val="restart"/>
            <w:tcBorders>
              <w:top w:val="single" w:sz="4" w:space="0" w:color="000000"/>
              <w:left w:val="nil"/>
              <w:right w:val="nil"/>
            </w:tcBorders>
            <w:shd w:val="clear" w:color="auto" w:fill="auto"/>
            <w:tcMar>
              <w:top w:w="17" w:type="dxa"/>
              <w:left w:w="17" w:type="dxa"/>
              <w:bottom w:w="0" w:type="dxa"/>
              <w:right w:w="17" w:type="dxa"/>
            </w:tcMar>
            <w:vAlign w:val="center"/>
            <w:hideMark/>
          </w:tcPr>
          <w:p w14:paraId="7B7514E9"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311511</w:t>
            </w:r>
          </w:p>
        </w:tc>
        <w:tc>
          <w:tcPr>
            <w:tcW w:w="1285" w:type="pct"/>
            <w:vMerge w:val="restart"/>
            <w:tcBorders>
              <w:top w:val="single" w:sz="4" w:space="0" w:color="000000"/>
              <w:left w:val="nil"/>
              <w:right w:val="single" w:sz="8" w:space="0" w:color="000000"/>
            </w:tcBorders>
            <w:shd w:val="clear" w:color="auto" w:fill="auto"/>
            <w:tcMar>
              <w:top w:w="17" w:type="dxa"/>
              <w:left w:w="17" w:type="dxa"/>
              <w:bottom w:w="0" w:type="dxa"/>
              <w:right w:w="17" w:type="dxa"/>
            </w:tcMar>
            <w:vAlign w:val="center"/>
            <w:hideMark/>
          </w:tcPr>
          <w:p w14:paraId="55B02601"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Fluid Milk</w:t>
            </w:r>
          </w:p>
        </w:tc>
        <w:tc>
          <w:tcPr>
            <w:tcW w:w="512" w:type="pct"/>
            <w:vMerge w:val="restart"/>
            <w:tcBorders>
              <w:top w:val="single" w:sz="4" w:space="0" w:color="000000"/>
              <w:left w:val="single" w:sz="8" w:space="0" w:color="000000"/>
              <w:right w:val="nil"/>
            </w:tcBorders>
            <w:shd w:val="clear" w:color="auto" w:fill="auto"/>
            <w:tcMar>
              <w:top w:w="17" w:type="dxa"/>
              <w:left w:w="17" w:type="dxa"/>
              <w:bottom w:w="0" w:type="dxa"/>
              <w:right w:w="17" w:type="dxa"/>
            </w:tcMar>
            <w:vAlign w:val="center"/>
            <w:hideMark/>
          </w:tcPr>
          <w:p w14:paraId="61AEDBD6"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Boiler</w:t>
            </w:r>
          </w:p>
        </w:tc>
        <w:tc>
          <w:tcPr>
            <w:tcW w:w="540" w:type="pct"/>
            <w:vMerge w:val="restart"/>
            <w:tcBorders>
              <w:top w:val="single" w:sz="4" w:space="0" w:color="000000"/>
              <w:left w:val="nil"/>
              <w:right w:val="single" w:sz="8" w:space="0" w:color="000000"/>
            </w:tcBorders>
            <w:shd w:val="clear" w:color="auto" w:fill="auto"/>
            <w:tcMar>
              <w:top w:w="17" w:type="dxa"/>
              <w:left w:w="17" w:type="dxa"/>
              <w:bottom w:w="0" w:type="dxa"/>
              <w:right w:w="17" w:type="dxa"/>
            </w:tcMar>
            <w:vAlign w:val="center"/>
            <w:hideMark/>
          </w:tcPr>
          <w:p w14:paraId="0C349B07" w14:textId="507AB31E"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394" w:type="pct"/>
            <w:tcBorders>
              <w:top w:val="single" w:sz="4" w:space="0" w:color="000000"/>
              <w:left w:val="single" w:sz="8" w:space="0" w:color="000000"/>
              <w:bottom w:val="nil"/>
              <w:right w:val="nil"/>
            </w:tcBorders>
            <w:shd w:val="clear" w:color="auto" w:fill="auto"/>
            <w:tcMar>
              <w:top w:w="17" w:type="dxa"/>
              <w:left w:w="17" w:type="dxa"/>
              <w:bottom w:w="0" w:type="dxa"/>
              <w:right w:w="17" w:type="dxa"/>
            </w:tcMar>
            <w:vAlign w:val="center"/>
            <w:hideMark/>
          </w:tcPr>
          <w:p w14:paraId="592C1FCD"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Steam</w:t>
            </w:r>
          </w:p>
        </w:tc>
        <w:tc>
          <w:tcPr>
            <w:tcW w:w="363" w:type="pct"/>
            <w:tcBorders>
              <w:top w:val="single" w:sz="4" w:space="0" w:color="000000"/>
              <w:left w:val="nil"/>
              <w:bottom w:val="nil"/>
              <w:right w:val="nil"/>
            </w:tcBorders>
            <w:shd w:val="clear" w:color="auto" w:fill="auto"/>
            <w:tcMar>
              <w:top w:w="17" w:type="dxa"/>
              <w:left w:w="17" w:type="dxa"/>
              <w:bottom w:w="0" w:type="dxa"/>
              <w:right w:w="17" w:type="dxa"/>
            </w:tcMar>
            <w:vAlign w:val="center"/>
            <w:hideMark/>
          </w:tcPr>
          <w:p w14:paraId="0CCCE786" w14:textId="0E365CD2"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529" w:type="pct"/>
            <w:tcBorders>
              <w:top w:val="single" w:sz="4" w:space="0" w:color="000000"/>
              <w:left w:val="nil"/>
              <w:bottom w:val="nil"/>
              <w:right w:val="single" w:sz="8" w:space="0" w:color="000000"/>
            </w:tcBorders>
            <w:shd w:val="clear" w:color="auto" w:fill="auto"/>
            <w:tcMar>
              <w:top w:w="17" w:type="dxa"/>
              <w:left w:w="17" w:type="dxa"/>
              <w:bottom w:w="0" w:type="dxa"/>
              <w:right w:w="17" w:type="dxa"/>
            </w:tcMar>
            <w:vAlign w:val="center"/>
            <w:hideMark/>
          </w:tcPr>
          <w:p w14:paraId="2BDAB04F"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127.5</w:t>
            </w:r>
          </w:p>
        </w:tc>
      </w:tr>
      <w:tr w:rsidR="006E67DF" w:rsidRPr="00537BCC" w14:paraId="377983E0" w14:textId="77777777" w:rsidTr="008C14E2">
        <w:trPr>
          <w:trHeight w:val="216"/>
        </w:trPr>
        <w:tc>
          <w:tcPr>
            <w:tcW w:w="380" w:type="pct"/>
            <w:vMerge/>
            <w:tcBorders>
              <w:left w:val="single" w:sz="8" w:space="0" w:color="000000"/>
              <w:bottom w:val="single" w:sz="4" w:space="0" w:color="000000"/>
              <w:right w:val="nil"/>
            </w:tcBorders>
            <w:shd w:val="clear" w:color="auto" w:fill="auto"/>
            <w:tcMar>
              <w:top w:w="17" w:type="dxa"/>
              <w:left w:w="17" w:type="dxa"/>
              <w:bottom w:w="0" w:type="dxa"/>
              <w:right w:w="17" w:type="dxa"/>
            </w:tcMar>
            <w:vAlign w:val="center"/>
            <w:hideMark/>
          </w:tcPr>
          <w:p w14:paraId="4F34076F" w14:textId="77777777" w:rsidR="006E67DF" w:rsidRPr="00537BCC" w:rsidRDefault="006E67DF" w:rsidP="006E67DF">
            <w:pPr>
              <w:jc w:val="center"/>
              <w:rPr>
                <w:rFonts w:ascii="Arial" w:hAnsi="Arial" w:cs="Arial"/>
                <w:sz w:val="18"/>
                <w:szCs w:val="18"/>
              </w:rPr>
            </w:pPr>
          </w:p>
        </w:tc>
        <w:tc>
          <w:tcPr>
            <w:tcW w:w="502" w:type="pct"/>
            <w:vMerge/>
            <w:tcBorders>
              <w:left w:val="nil"/>
              <w:bottom w:val="single" w:sz="4" w:space="0" w:color="000000"/>
              <w:right w:val="nil"/>
            </w:tcBorders>
            <w:shd w:val="clear" w:color="auto" w:fill="auto"/>
            <w:tcMar>
              <w:top w:w="17" w:type="dxa"/>
              <w:left w:w="17" w:type="dxa"/>
              <w:bottom w:w="0" w:type="dxa"/>
              <w:right w:w="17" w:type="dxa"/>
            </w:tcMar>
            <w:vAlign w:val="center"/>
            <w:hideMark/>
          </w:tcPr>
          <w:p w14:paraId="1A0E13C1" w14:textId="77777777" w:rsidR="006E67DF" w:rsidRPr="00537BCC" w:rsidRDefault="006E67DF" w:rsidP="006E67DF">
            <w:pPr>
              <w:jc w:val="center"/>
              <w:rPr>
                <w:rFonts w:ascii="Arial" w:hAnsi="Arial" w:cs="Arial"/>
                <w:sz w:val="18"/>
                <w:szCs w:val="18"/>
              </w:rPr>
            </w:pPr>
          </w:p>
        </w:tc>
        <w:tc>
          <w:tcPr>
            <w:tcW w:w="496" w:type="pct"/>
            <w:vMerge/>
            <w:tcBorders>
              <w:left w:val="nil"/>
              <w:bottom w:val="single" w:sz="4" w:space="0" w:color="000000"/>
              <w:right w:val="nil"/>
            </w:tcBorders>
            <w:shd w:val="clear" w:color="auto" w:fill="auto"/>
            <w:tcMar>
              <w:top w:w="17" w:type="dxa"/>
              <w:left w:w="17" w:type="dxa"/>
              <w:bottom w:w="0" w:type="dxa"/>
              <w:right w:w="17" w:type="dxa"/>
            </w:tcMar>
            <w:vAlign w:val="center"/>
            <w:hideMark/>
          </w:tcPr>
          <w:p w14:paraId="29189234" w14:textId="77777777" w:rsidR="006E67DF" w:rsidRPr="00537BCC" w:rsidRDefault="006E67DF" w:rsidP="006E67DF">
            <w:pPr>
              <w:jc w:val="center"/>
              <w:rPr>
                <w:rFonts w:ascii="Arial" w:hAnsi="Arial" w:cs="Arial"/>
                <w:sz w:val="18"/>
                <w:szCs w:val="18"/>
              </w:rPr>
            </w:pPr>
          </w:p>
        </w:tc>
        <w:tc>
          <w:tcPr>
            <w:tcW w:w="1285" w:type="pct"/>
            <w:vMerge/>
            <w:tcBorders>
              <w:left w:val="nil"/>
              <w:bottom w:val="single" w:sz="4" w:space="0" w:color="000000"/>
              <w:right w:val="single" w:sz="8" w:space="0" w:color="000000"/>
            </w:tcBorders>
            <w:shd w:val="clear" w:color="auto" w:fill="auto"/>
            <w:tcMar>
              <w:top w:w="17" w:type="dxa"/>
              <w:left w:w="17" w:type="dxa"/>
              <w:bottom w:w="0" w:type="dxa"/>
              <w:right w:w="17" w:type="dxa"/>
            </w:tcMar>
            <w:vAlign w:val="center"/>
            <w:hideMark/>
          </w:tcPr>
          <w:p w14:paraId="2EADAC7C" w14:textId="77777777" w:rsidR="006E67DF" w:rsidRPr="00537BCC" w:rsidRDefault="006E67DF" w:rsidP="006E67DF">
            <w:pPr>
              <w:jc w:val="center"/>
              <w:rPr>
                <w:rFonts w:ascii="Arial" w:hAnsi="Arial" w:cs="Arial"/>
                <w:sz w:val="18"/>
                <w:szCs w:val="18"/>
              </w:rPr>
            </w:pPr>
          </w:p>
        </w:tc>
        <w:tc>
          <w:tcPr>
            <w:tcW w:w="512" w:type="pct"/>
            <w:vMerge/>
            <w:tcBorders>
              <w:left w:val="single" w:sz="8" w:space="0" w:color="000000"/>
              <w:bottom w:val="single" w:sz="4" w:space="0" w:color="000000"/>
              <w:right w:val="nil"/>
            </w:tcBorders>
            <w:shd w:val="clear" w:color="auto" w:fill="auto"/>
            <w:tcMar>
              <w:top w:w="17" w:type="dxa"/>
              <w:left w:w="17" w:type="dxa"/>
              <w:bottom w:w="0" w:type="dxa"/>
              <w:right w:w="17" w:type="dxa"/>
            </w:tcMar>
            <w:vAlign w:val="center"/>
            <w:hideMark/>
          </w:tcPr>
          <w:p w14:paraId="57BED17C" w14:textId="77777777" w:rsidR="006E67DF" w:rsidRPr="00537BCC" w:rsidRDefault="006E67DF" w:rsidP="006E67DF">
            <w:pPr>
              <w:jc w:val="center"/>
              <w:rPr>
                <w:rFonts w:ascii="Arial" w:hAnsi="Arial" w:cs="Arial"/>
                <w:sz w:val="18"/>
                <w:szCs w:val="18"/>
              </w:rPr>
            </w:pPr>
          </w:p>
        </w:tc>
        <w:tc>
          <w:tcPr>
            <w:tcW w:w="540" w:type="pct"/>
            <w:vMerge/>
            <w:tcBorders>
              <w:left w:val="nil"/>
              <w:bottom w:val="single" w:sz="4" w:space="0" w:color="000000"/>
              <w:right w:val="single" w:sz="8" w:space="0" w:color="000000"/>
            </w:tcBorders>
            <w:shd w:val="clear" w:color="auto" w:fill="auto"/>
            <w:tcMar>
              <w:top w:w="17" w:type="dxa"/>
              <w:left w:w="17" w:type="dxa"/>
              <w:bottom w:w="0" w:type="dxa"/>
              <w:right w:w="17" w:type="dxa"/>
            </w:tcMar>
            <w:vAlign w:val="center"/>
            <w:hideMark/>
          </w:tcPr>
          <w:p w14:paraId="4E7763FA" w14:textId="77777777" w:rsidR="006E67DF" w:rsidRPr="00537BCC" w:rsidRDefault="006E67DF" w:rsidP="006E67DF">
            <w:pPr>
              <w:jc w:val="center"/>
              <w:rPr>
                <w:rFonts w:ascii="Arial" w:hAnsi="Arial" w:cs="Arial"/>
                <w:sz w:val="18"/>
                <w:szCs w:val="18"/>
              </w:rPr>
            </w:pPr>
          </w:p>
        </w:tc>
        <w:tc>
          <w:tcPr>
            <w:tcW w:w="394" w:type="pct"/>
            <w:tcBorders>
              <w:top w:val="nil"/>
              <w:left w:val="single" w:sz="8" w:space="0" w:color="000000"/>
              <w:bottom w:val="single" w:sz="4" w:space="0" w:color="000000"/>
              <w:right w:val="nil"/>
            </w:tcBorders>
            <w:shd w:val="clear" w:color="auto" w:fill="auto"/>
            <w:tcMar>
              <w:top w:w="17" w:type="dxa"/>
              <w:left w:w="17" w:type="dxa"/>
              <w:bottom w:w="0" w:type="dxa"/>
              <w:right w:w="17" w:type="dxa"/>
            </w:tcMar>
            <w:vAlign w:val="center"/>
            <w:hideMark/>
          </w:tcPr>
          <w:p w14:paraId="5543572B"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Sp Ht</w:t>
            </w:r>
          </w:p>
        </w:tc>
        <w:tc>
          <w:tcPr>
            <w:tcW w:w="363" w:type="pct"/>
            <w:tcBorders>
              <w:top w:val="nil"/>
              <w:left w:val="nil"/>
              <w:bottom w:val="single" w:sz="4" w:space="0" w:color="000000"/>
              <w:right w:val="nil"/>
            </w:tcBorders>
            <w:shd w:val="clear" w:color="auto" w:fill="auto"/>
            <w:tcMar>
              <w:top w:w="17" w:type="dxa"/>
              <w:left w:w="17" w:type="dxa"/>
              <w:bottom w:w="0" w:type="dxa"/>
              <w:right w:w="17" w:type="dxa"/>
            </w:tcMar>
            <w:vAlign w:val="center"/>
            <w:hideMark/>
          </w:tcPr>
          <w:p w14:paraId="1373F54D" w14:textId="10921D4C"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529" w:type="pct"/>
            <w:tcBorders>
              <w:top w:val="nil"/>
              <w:left w:val="nil"/>
              <w:bottom w:val="single" w:sz="4" w:space="0" w:color="000000"/>
              <w:right w:val="single" w:sz="8" w:space="0" w:color="000000"/>
            </w:tcBorders>
            <w:shd w:val="clear" w:color="auto" w:fill="auto"/>
            <w:tcMar>
              <w:top w:w="17" w:type="dxa"/>
              <w:left w:w="17" w:type="dxa"/>
              <w:bottom w:w="0" w:type="dxa"/>
              <w:right w:w="17" w:type="dxa"/>
            </w:tcMar>
            <w:vAlign w:val="center"/>
            <w:hideMark/>
          </w:tcPr>
          <w:p w14:paraId="629634EE"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28.7</w:t>
            </w:r>
          </w:p>
        </w:tc>
      </w:tr>
      <w:tr w:rsidR="006E67DF" w:rsidRPr="00537BCC" w14:paraId="2DF81BAE" w14:textId="77777777" w:rsidTr="008C14E2">
        <w:trPr>
          <w:trHeight w:val="216"/>
        </w:trPr>
        <w:tc>
          <w:tcPr>
            <w:tcW w:w="380" w:type="pct"/>
            <w:vMerge w:val="restart"/>
            <w:tcBorders>
              <w:top w:val="single" w:sz="4" w:space="0" w:color="000000"/>
              <w:left w:val="single" w:sz="8" w:space="0" w:color="000000"/>
              <w:right w:val="nil"/>
            </w:tcBorders>
            <w:shd w:val="clear" w:color="auto" w:fill="auto"/>
            <w:tcMar>
              <w:top w:w="17" w:type="dxa"/>
              <w:left w:w="17" w:type="dxa"/>
              <w:bottom w:w="0" w:type="dxa"/>
              <w:right w:w="17" w:type="dxa"/>
            </w:tcMar>
            <w:vAlign w:val="center"/>
            <w:hideMark/>
          </w:tcPr>
          <w:p w14:paraId="4BC4F40D"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2033</w:t>
            </w:r>
          </w:p>
        </w:tc>
        <w:tc>
          <w:tcPr>
            <w:tcW w:w="502" w:type="pct"/>
            <w:vMerge w:val="restart"/>
            <w:tcBorders>
              <w:top w:val="single" w:sz="4" w:space="0" w:color="000000"/>
              <w:left w:val="nil"/>
              <w:right w:val="nil"/>
            </w:tcBorders>
            <w:shd w:val="clear" w:color="auto" w:fill="auto"/>
            <w:tcMar>
              <w:top w:w="17" w:type="dxa"/>
              <w:left w:w="17" w:type="dxa"/>
              <w:bottom w:w="0" w:type="dxa"/>
              <w:right w:w="17" w:type="dxa"/>
            </w:tcMar>
            <w:vAlign w:val="center"/>
            <w:hideMark/>
          </w:tcPr>
          <w:p w14:paraId="5DD38218"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2033-1</w:t>
            </w:r>
          </w:p>
        </w:tc>
        <w:tc>
          <w:tcPr>
            <w:tcW w:w="496" w:type="pct"/>
            <w:vMerge w:val="restart"/>
            <w:tcBorders>
              <w:top w:val="single" w:sz="4" w:space="0" w:color="000000"/>
              <w:left w:val="nil"/>
              <w:right w:val="nil"/>
            </w:tcBorders>
            <w:shd w:val="clear" w:color="auto" w:fill="auto"/>
            <w:tcMar>
              <w:top w:w="17" w:type="dxa"/>
              <w:left w:w="17" w:type="dxa"/>
              <w:bottom w:w="0" w:type="dxa"/>
              <w:right w:w="17" w:type="dxa"/>
            </w:tcMar>
            <w:vAlign w:val="center"/>
            <w:hideMark/>
          </w:tcPr>
          <w:p w14:paraId="1632B7BA"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311421</w:t>
            </w:r>
          </w:p>
        </w:tc>
        <w:tc>
          <w:tcPr>
            <w:tcW w:w="1285" w:type="pct"/>
            <w:vMerge w:val="restart"/>
            <w:tcBorders>
              <w:top w:val="single" w:sz="4" w:space="0" w:color="000000"/>
              <w:left w:val="nil"/>
              <w:right w:val="single" w:sz="8" w:space="0" w:color="000000"/>
            </w:tcBorders>
            <w:shd w:val="clear" w:color="auto" w:fill="auto"/>
            <w:tcMar>
              <w:top w:w="17" w:type="dxa"/>
              <w:left w:w="17" w:type="dxa"/>
              <w:bottom w:w="0" w:type="dxa"/>
              <w:right w:w="17" w:type="dxa"/>
            </w:tcMar>
            <w:vAlign w:val="center"/>
            <w:hideMark/>
          </w:tcPr>
          <w:p w14:paraId="32BF085A"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Canned Fruits and Specialties</w:t>
            </w:r>
          </w:p>
        </w:tc>
        <w:tc>
          <w:tcPr>
            <w:tcW w:w="512" w:type="pct"/>
            <w:vMerge w:val="restart"/>
            <w:tcBorders>
              <w:top w:val="single" w:sz="4" w:space="0" w:color="000000"/>
              <w:left w:val="single" w:sz="8" w:space="0" w:color="000000"/>
              <w:right w:val="nil"/>
            </w:tcBorders>
            <w:shd w:val="clear" w:color="auto" w:fill="auto"/>
            <w:tcMar>
              <w:top w:w="17" w:type="dxa"/>
              <w:left w:w="17" w:type="dxa"/>
              <w:bottom w:w="0" w:type="dxa"/>
              <w:right w:w="17" w:type="dxa"/>
            </w:tcMar>
            <w:vAlign w:val="center"/>
            <w:hideMark/>
          </w:tcPr>
          <w:p w14:paraId="65B03DDC"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Boiler</w:t>
            </w:r>
          </w:p>
        </w:tc>
        <w:tc>
          <w:tcPr>
            <w:tcW w:w="540" w:type="pct"/>
            <w:vMerge w:val="restart"/>
            <w:tcBorders>
              <w:top w:val="single" w:sz="4" w:space="0" w:color="000000"/>
              <w:left w:val="nil"/>
              <w:right w:val="single" w:sz="8" w:space="0" w:color="000000"/>
            </w:tcBorders>
            <w:shd w:val="clear" w:color="auto" w:fill="auto"/>
            <w:tcMar>
              <w:top w:w="17" w:type="dxa"/>
              <w:left w:w="17" w:type="dxa"/>
              <w:bottom w:w="0" w:type="dxa"/>
              <w:right w:w="17" w:type="dxa"/>
            </w:tcMar>
            <w:vAlign w:val="center"/>
            <w:hideMark/>
          </w:tcPr>
          <w:p w14:paraId="3542009B" w14:textId="53A6E879"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394" w:type="pct"/>
            <w:tcBorders>
              <w:top w:val="single" w:sz="4" w:space="0" w:color="000000"/>
              <w:left w:val="single" w:sz="8" w:space="0" w:color="000000"/>
              <w:bottom w:val="nil"/>
              <w:right w:val="nil"/>
            </w:tcBorders>
            <w:shd w:val="clear" w:color="auto" w:fill="auto"/>
            <w:tcMar>
              <w:top w:w="17" w:type="dxa"/>
              <w:left w:w="17" w:type="dxa"/>
              <w:bottom w:w="0" w:type="dxa"/>
              <w:right w:w="17" w:type="dxa"/>
            </w:tcMar>
            <w:vAlign w:val="center"/>
            <w:hideMark/>
          </w:tcPr>
          <w:p w14:paraId="401E126D"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Steam</w:t>
            </w:r>
          </w:p>
        </w:tc>
        <w:tc>
          <w:tcPr>
            <w:tcW w:w="363" w:type="pct"/>
            <w:tcBorders>
              <w:top w:val="single" w:sz="4" w:space="0" w:color="000000"/>
              <w:left w:val="nil"/>
              <w:bottom w:val="nil"/>
              <w:right w:val="nil"/>
            </w:tcBorders>
            <w:shd w:val="clear" w:color="auto" w:fill="auto"/>
            <w:tcMar>
              <w:top w:w="17" w:type="dxa"/>
              <w:left w:w="17" w:type="dxa"/>
              <w:bottom w:w="0" w:type="dxa"/>
              <w:right w:w="17" w:type="dxa"/>
            </w:tcMar>
            <w:vAlign w:val="center"/>
            <w:hideMark/>
          </w:tcPr>
          <w:p w14:paraId="5CB5AA73" w14:textId="453154E1"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529" w:type="pct"/>
            <w:tcBorders>
              <w:top w:val="single" w:sz="4" w:space="0" w:color="000000"/>
              <w:left w:val="nil"/>
              <w:bottom w:val="nil"/>
              <w:right w:val="single" w:sz="8" w:space="0" w:color="000000"/>
            </w:tcBorders>
            <w:shd w:val="clear" w:color="auto" w:fill="auto"/>
            <w:tcMar>
              <w:top w:w="17" w:type="dxa"/>
              <w:left w:w="17" w:type="dxa"/>
              <w:bottom w:w="0" w:type="dxa"/>
              <w:right w:w="17" w:type="dxa"/>
            </w:tcMar>
            <w:vAlign w:val="center"/>
            <w:hideMark/>
          </w:tcPr>
          <w:p w14:paraId="4058E93A" w14:textId="26437587" w:rsidR="006E67DF" w:rsidRPr="00537BCC" w:rsidRDefault="006E67DF" w:rsidP="006E67DF">
            <w:pPr>
              <w:jc w:val="center"/>
              <w:rPr>
                <w:rFonts w:ascii="Arial" w:hAnsi="Arial" w:cs="Arial"/>
                <w:sz w:val="18"/>
                <w:szCs w:val="18"/>
              </w:rPr>
            </w:pPr>
            <w:r w:rsidRPr="00537BCC">
              <w:rPr>
                <w:rFonts w:ascii="Arial" w:hAnsi="Arial" w:cs="Arial"/>
                <w:sz w:val="18"/>
                <w:szCs w:val="18"/>
              </w:rPr>
              <w:t>16</w:t>
            </w:r>
            <w:r w:rsidR="008C14E2">
              <w:rPr>
                <w:rFonts w:ascii="Arial" w:hAnsi="Arial" w:cs="Arial"/>
                <w:sz w:val="18"/>
                <w:szCs w:val="18"/>
              </w:rPr>
              <w:t>,</w:t>
            </w:r>
            <w:r w:rsidRPr="00537BCC">
              <w:rPr>
                <w:rFonts w:ascii="Arial" w:hAnsi="Arial" w:cs="Arial"/>
                <w:sz w:val="18"/>
                <w:szCs w:val="18"/>
              </w:rPr>
              <w:t>500</w:t>
            </w:r>
          </w:p>
        </w:tc>
      </w:tr>
      <w:tr w:rsidR="006E67DF" w:rsidRPr="00537BCC" w14:paraId="76193CBE" w14:textId="77777777" w:rsidTr="008C14E2">
        <w:trPr>
          <w:trHeight w:val="216"/>
        </w:trPr>
        <w:tc>
          <w:tcPr>
            <w:tcW w:w="380" w:type="pct"/>
            <w:vMerge/>
            <w:tcBorders>
              <w:left w:val="single" w:sz="8" w:space="0" w:color="000000"/>
              <w:right w:val="nil"/>
            </w:tcBorders>
            <w:shd w:val="clear" w:color="auto" w:fill="auto"/>
            <w:tcMar>
              <w:top w:w="17" w:type="dxa"/>
              <w:left w:w="17" w:type="dxa"/>
              <w:bottom w:w="0" w:type="dxa"/>
              <w:right w:w="17" w:type="dxa"/>
            </w:tcMar>
            <w:vAlign w:val="center"/>
            <w:hideMark/>
          </w:tcPr>
          <w:p w14:paraId="224AB23D" w14:textId="77777777" w:rsidR="006E67DF" w:rsidRPr="00537BCC" w:rsidRDefault="006E67DF" w:rsidP="006E67DF">
            <w:pPr>
              <w:jc w:val="center"/>
              <w:rPr>
                <w:rFonts w:ascii="Arial" w:hAnsi="Arial" w:cs="Arial"/>
                <w:sz w:val="18"/>
                <w:szCs w:val="18"/>
              </w:rPr>
            </w:pPr>
          </w:p>
        </w:tc>
        <w:tc>
          <w:tcPr>
            <w:tcW w:w="502" w:type="pct"/>
            <w:vMerge/>
            <w:tcBorders>
              <w:left w:val="nil"/>
              <w:right w:val="nil"/>
            </w:tcBorders>
            <w:shd w:val="clear" w:color="auto" w:fill="auto"/>
            <w:tcMar>
              <w:top w:w="17" w:type="dxa"/>
              <w:left w:w="17" w:type="dxa"/>
              <w:bottom w:w="0" w:type="dxa"/>
              <w:right w:w="17" w:type="dxa"/>
            </w:tcMar>
            <w:vAlign w:val="center"/>
            <w:hideMark/>
          </w:tcPr>
          <w:p w14:paraId="26A48157" w14:textId="77777777" w:rsidR="006E67DF" w:rsidRPr="00537BCC" w:rsidRDefault="006E67DF" w:rsidP="006E67DF">
            <w:pPr>
              <w:jc w:val="center"/>
              <w:rPr>
                <w:rFonts w:ascii="Arial" w:hAnsi="Arial" w:cs="Arial"/>
                <w:sz w:val="18"/>
                <w:szCs w:val="18"/>
              </w:rPr>
            </w:pPr>
          </w:p>
        </w:tc>
        <w:tc>
          <w:tcPr>
            <w:tcW w:w="496" w:type="pct"/>
            <w:vMerge/>
            <w:tcBorders>
              <w:left w:val="nil"/>
              <w:right w:val="nil"/>
            </w:tcBorders>
            <w:shd w:val="clear" w:color="auto" w:fill="auto"/>
            <w:tcMar>
              <w:top w:w="17" w:type="dxa"/>
              <w:left w:w="17" w:type="dxa"/>
              <w:bottom w:w="0" w:type="dxa"/>
              <w:right w:w="17" w:type="dxa"/>
            </w:tcMar>
            <w:vAlign w:val="center"/>
            <w:hideMark/>
          </w:tcPr>
          <w:p w14:paraId="10029C68" w14:textId="77777777" w:rsidR="006E67DF" w:rsidRPr="00537BCC" w:rsidRDefault="006E67DF" w:rsidP="006E67DF">
            <w:pPr>
              <w:jc w:val="center"/>
              <w:rPr>
                <w:rFonts w:ascii="Arial" w:hAnsi="Arial" w:cs="Arial"/>
                <w:sz w:val="18"/>
                <w:szCs w:val="18"/>
              </w:rPr>
            </w:pPr>
          </w:p>
        </w:tc>
        <w:tc>
          <w:tcPr>
            <w:tcW w:w="1285" w:type="pct"/>
            <w:vMerge/>
            <w:tcBorders>
              <w:left w:val="nil"/>
              <w:right w:val="single" w:sz="8" w:space="0" w:color="000000"/>
            </w:tcBorders>
            <w:shd w:val="clear" w:color="auto" w:fill="auto"/>
            <w:tcMar>
              <w:top w:w="17" w:type="dxa"/>
              <w:left w:w="17" w:type="dxa"/>
              <w:bottom w:w="0" w:type="dxa"/>
              <w:right w:w="17" w:type="dxa"/>
            </w:tcMar>
            <w:vAlign w:val="center"/>
            <w:hideMark/>
          </w:tcPr>
          <w:p w14:paraId="4F37054B" w14:textId="77777777" w:rsidR="006E67DF" w:rsidRPr="00537BCC" w:rsidRDefault="006E67DF" w:rsidP="006E67DF">
            <w:pPr>
              <w:jc w:val="center"/>
              <w:rPr>
                <w:rFonts w:ascii="Arial" w:hAnsi="Arial" w:cs="Arial"/>
                <w:sz w:val="18"/>
                <w:szCs w:val="18"/>
              </w:rPr>
            </w:pPr>
          </w:p>
        </w:tc>
        <w:tc>
          <w:tcPr>
            <w:tcW w:w="512" w:type="pct"/>
            <w:vMerge/>
            <w:tcBorders>
              <w:left w:val="single" w:sz="8" w:space="0" w:color="000000"/>
              <w:right w:val="nil"/>
            </w:tcBorders>
            <w:shd w:val="clear" w:color="auto" w:fill="auto"/>
            <w:tcMar>
              <w:top w:w="17" w:type="dxa"/>
              <w:left w:w="17" w:type="dxa"/>
              <w:bottom w:w="0" w:type="dxa"/>
              <w:right w:w="17" w:type="dxa"/>
            </w:tcMar>
            <w:vAlign w:val="center"/>
            <w:hideMark/>
          </w:tcPr>
          <w:p w14:paraId="0CD2DAFA" w14:textId="77777777" w:rsidR="006E67DF" w:rsidRPr="00537BCC" w:rsidRDefault="006E67DF" w:rsidP="006E67DF">
            <w:pPr>
              <w:jc w:val="center"/>
              <w:rPr>
                <w:rFonts w:ascii="Arial" w:hAnsi="Arial" w:cs="Arial"/>
                <w:sz w:val="18"/>
                <w:szCs w:val="18"/>
              </w:rPr>
            </w:pPr>
          </w:p>
        </w:tc>
        <w:tc>
          <w:tcPr>
            <w:tcW w:w="540" w:type="pct"/>
            <w:vMerge/>
            <w:tcBorders>
              <w:left w:val="nil"/>
              <w:right w:val="single" w:sz="8" w:space="0" w:color="000000"/>
            </w:tcBorders>
            <w:shd w:val="clear" w:color="auto" w:fill="auto"/>
            <w:tcMar>
              <w:top w:w="17" w:type="dxa"/>
              <w:left w:w="17" w:type="dxa"/>
              <w:bottom w:w="0" w:type="dxa"/>
              <w:right w:w="17" w:type="dxa"/>
            </w:tcMar>
            <w:vAlign w:val="center"/>
            <w:hideMark/>
          </w:tcPr>
          <w:p w14:paraId="10275C4D" w14:textId="77777777" w:rsidR="006E67DF" w:rsidRPr="00537BCC" w:rsidRDefault="006E67DF" w:rsidP="006E67DF">
            <w:pPr>
              <w:jc w:val="center"/>
              <w:rPr>
                <w:rFonts w:ascii="Arial" w:hAnsi="Arial" w:cs="Arial"/>
                <w:sz w:val="18"/>
                <w:szCs w:val="18"/>
              </w:rPr>
            </w:pPr>
          </w:p>
        </w:tc>
        <w:tc>
          <w:tcPr>
            <w:tcW w:w="394" w:type="pct"/>
            <w:tcBorders>
              <w:top w:val="nil"/>
              <w:left w:val="single" w:sz="8" w:space="0" w:color="000000"/>
              <w:bottom w:val="nil"/>
              <w:right w:val="nil"/>
            </w:tcBorders>
            <w:shd w:val="clear" w:color="auto" w:fill="auto"/>
            <w:tcMar>
              <w:top w:w="17" w:type="dxa"/>
              <w:left w:w="17" w:type="dxa"/>
              <w:bottom w:w="0" w:type="dxa"/>
              <w:right w:w="17" w:type="dxa"/>
            </w:tcMar>
            <w:vAlign w:val="center"/>
            <w:hideMark/>
          </w:tcPr>
          <w:p w14:paraId="510CA148"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Sp Ht</w:t>
            </w:r>
          </w:p>
        </w:tc>
        <w:tc>
          <w:tcPr>
            <w:tcW w:w="363" w:type="pct"/>
            <w:tcBorders>
              <w:top w:val="nil"/>
              <w:left w:val="nil"/>
              <w:bottom w:val="nil"/>
              <w:right w:val="nil"/>
            </w:tcBorders>
            <w:shd w:val="clear" w:color="auto" w:fill="auto"/>
            <w:tcMar>
              <w:top w:w="17" w:type="dxa"/>
              <w:left w:w="17" w:type="dxa"/>
              <w:bottom w:w="0" w:type="dxa"/>
              <w:right w:w="17" w:type="dxa"/>
            </w:tcMar>
            <w:vAlign w:val="center"/>
            <w:hideMark/>
          </w:tcPr>
          <w:p w14:paraId="6C94208B" w14:textId="56AA05A1"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529" w:type="pct"/>
            <w:tcBorders>
              <w:top w:val="nil"/>
              <w:left w:val="nil"/>
              <w:bottom w:val="nil"/>
              <w:right w:val="single" w:sz="8" w:space="0" w:color="000000"/>
            </w:tcBorders>
            <w:shd w:val="clear" w:color="auto" w:fill="auto"/>
            <w:tcMar>
              <w:top w:w="17" w:type="dxa"/>
              <w:left w:w="17" w:type="dxa"/>
              <w:bottom w:w="0" w:type="dxa"/>
              <w:right w:w="17" w:type="dxa"/>
            </w:tcMar>
            <w:vAlign w:val="center"/>
            <w:hideMark/>
          </w:tcPr>
          <w:p w14:paraId="09B16917" w14:textId="3C7D5865" w:rsidR="006E67DF" w:rsidRPr="00537BCC" w:rsidRDefault="006E67DF" w:rsidP="006E67DF">
            <w:pPr>
              <w:jc w:val="center"/>
              <w:rPr>
                <w:rFonts w:ascii="Arial" w:hAnsi="Arial" w:cs="Arial"/>
                <w:sz w:val="18"/>
                <w:szCs w:val="18"/>
              </w:rPr>
            </w:pPr>
            <w:r w:rsidRPr="00537BCC">
              <w:rPr>
                <w:rFonts w:ascii="Arial" w:hAnsi="Arial" w:cs="Arial"/>
                <w:sz w:val="18"/>
                <w:szCs w:val="18"/>
              </w:rPr>
              <w:t>8</w:t>
            </w:r>
            <w:r w:rsidR="008C14E2">
              <w:rPr>
                <w:rFonts w:ascii="Arial" w:hAnsi="Arial" w:cs="Arial"/>
                <w:sz w:val="18"/>
                <w:szCs w:val="18"/>
              </w:rPr>
              <w:t>,</w:t>
            </w:r>
            <w:r w:rsidRPr="00537BCC">
              <w:rPr>
                <w:rFonts w:ascii="Arial" w:hAnsi="Arial" w:cs="Arial"/>
                <w:sz w:val="18"/>
                <w:szCs w:val="18"/>
              </w:rPr>
              <w:t>200</w:t>
            </w:r>
          </w:p>
        </w:tc>
      </w:tr>
      <w:tr w:rsidR="006E67DF" w:rsidRPr="00537BCC" w14:paraId="678799A4" w14:textId="77777777" w:rsidTr="008C14E2">
        <w:trPr>
          <w:trHeight w:val="216"/>
        </w:trPr>
        <w:tc>
          <w:tcPr>
            <w:tcW w:w="380" w:type="pct"/>
            <w:vMerge w:val="restart"/>
            <w:tcBorders>
              <w:top w:val="single" w:sz="4" w:space="0" w:color="000000"/>
              <w:left w:val="single" w:sz="8" w:space="0" w:color="000000"/>
              <w:right w:val="nil"/>
            </w:tcBorders>
            <w:shd w:val="clear" w:color="auto" w:fill="auto"/>
            <w:tcMar>
              <w:top w:w="17" w:type="dxa"/>
              <w:left w:w="17" w:type="dxa"/>
              <w:bottom w:w="0" w:type="dxa"/>
              <w:right w:w="17" w:type="dxa"/>
            </w:tcMar>
            <w:vAlign w:val="center"/>
            <w:hideMark/>
          </w:tcPr>
          <w:p w14:paraId="413C375D"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2033</w:t>
            </w:r>
          </w:p>
        </w:tc>
        <w:tc>
          <w:tcPr>
            <w:tcW w:w="502" w:type="pct"/>
            <w:vMerge w:val="restart"/>
            <w:tcBorders>
              <w:top w:val="single" w:sz="4" w:space="0" w:color="000000"/>
              <w:left w:val="nil"/>
              <w:right w:val="nil"/>
            </w:tcBorders>
            <w:shd w:val="clear" w:color="auto" w:fill="auto"/>
            <w:tcMar>
              <w:top w:w="17" w:type="dxa"/>
              <w:left w:w="17" w:type="dxa"/>
              <w:bottom w:w="0" w:type="dxa"/>
              <w:right w:w="17" w:type="dxa"/>
            </w:tcMar>
            <w:vAlign w:val="center"/>
            <w:hideMark/>
          </w:tcPr>
          <w:p w14:paraId="3E24CBD1"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2033-3</w:t>
            </w:r>
          </w:p>
        </w:tc>
        <w:tc>
          <w:tcPr>
            <w:tcW w:w="496" w:type="pct"/>
            <w:vMerge w:val="restart"/>
            <w:tcBorders>
              <w:top w:val="single" w:sz="4" w:space="0" w:color="000000"/>
              <w:left w:val="nil"/>
              <w:right w:val="nil"/>
            </w:tcBorders>
            <w:shd w:val="clear" w:color="auto" w:fill="auto"/>
            <w:tcMar>
              <w:top w:w="17" w:type="dxa"/>
              <w:left w:w="17" w:type="dxa"/>
              <w:bottom w:w="0" w:type="dxa"/>
              <w:right w:w="17" w:type="dxa"/>
            </w:tcMar>
            <w:vAlign w:val="center"/>
            <w:hideMark/>
          </w:tcPr>
          <w:p w14:paraId="24ABF362"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311421</w:t>
            </w:r>
          </w:p>
        </w:tc>
        <w:tc>
          <w:tcPr>
            <w:tcW w:w="1285" w:type="pct"/>
            <w:vMerge w:val="restart"/>
            <w:tcBorders>
              <w:top w:val="single" w:sz="4" w:space="0" w:color="000000"/>
              <w:left w:val="nil"/>
              <w:right w:val="single" w:sz="8" w:space="0" w:color="000000"/>
            </w:tcBorders>
            <w:shd w:val="clear" w:color="auto" w:fill="auto"/>
            <w:tcMar>
              <w:top w:w="17" w:type="dxa"/>
              <w:left w:w="17" w:type="dxa"/>
              <w:bottom w:w="0" w:type="dxa"/>
              <w:right w:w="17" w:type="dxa"/>
            </w:tcMar>
            <w:vAlign w:val="center"/>
            <w:hideMark/>
          </w:tcPr>
          <w:p w14:paraId="73A4C400"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Canned Fruits and Specialties</w:t>
            </w:r>
          </w:p>
        </w:tc>
        <w:tc>
          <w:tcPr>
            <w:tcW w:w="512" w:type="pct"/>
            <w:vMerge w:val="restart"/>
            <w:tcBorders>
              <w:top w:val="single" w:sz="4" w:space="0" w:color="000000"/>
              <w:left w:val="single" w:sz="8" w:space="0" w:color="000000"/>
              <w:right w:val="nil"/>
            </w:tcBorders>
            <w:shd w:val="clear" w:color="auto" w:fill="auto"/>
            <w:tcMar>
              <w:top w:w="17" w:type="dxa"/>
              <w:left w:w="17" w:type="dxa"/>
              <w:bottom w:w="0" w:type="dxa"/>
              <w:right w:w="17" w:type="dxa"/>
            </w:tcMar>
            <w:vAlign w:val="center"/>
            <w:hideMark/>
          </w:tcPr>
          <w:p w14:paraId="13002632"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Boiler</w:t>
            </w:r>
          </w:p>
        </w:tc>
        <w:tc>
          <w:tcPr>
            <w:tcW w:w="540" w:type="pct"/>
            <w:vMerge w:val="restart"/>
            <w:tcBorders>
              <w:top w:val="single" w:sz="4" w:space="0" w:color="000000"/>
              <w:left w:val="nil"/>
              <w:right w:val="single" w:sz="8" w:space="0" w:color="000000"/>
            </w:tcBorders>
            <w:shd w:val="clear" w:color="auto" w:fill="auto"/>
            <w:tcMar>
              <w:top w:w="17" w:type="dxa"/>
              <w:left w:w="17" w:type="dxa"/>
              <w:bottom w:w="0" w:type="dxa"/>
              <w:right w:w="17" w:type="dxa"/>
            </w:tcMar>
            <w:vAlign w:val="center"/>
            <w:hideMark/>
          </w:tcPr>
          <w:p w14:paraId="07C5F8C0" w14:textId="4A4D9BA6"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394" w:type="pct"/>
            <w:tcBorders>
              <w:top w:val="single" w:sz="4" w:space="0" w:color="000000"/>
              <w:left w:val="single" w:sz="8" w:space="0" w:color="000000"/>
              <w:bottom w:val="nil"/>
              <w:right w:val="nil"/>
            </w:tcBorders>
            <w:shd w:val="clear" w:color="auto" w:fill="auto"/>
            <w:tcMar>
              <w:top w:w="17" w:type="dxa"/>
              <w:left w:w="17" w:type="dxa"/>
              <w:bottom w:w="0" w:type="dxa"/>
              <w:right w:w="17" w:type="dxa"/>
            </w:tcMar>
            <w:vAlign w:val="center"/>
            <w:hideMark/>
          </w:tcPr>
          <w:p w14:paraId="50E49426"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Steam</w:t>
            </w:r>
          </w:p>
        </w:tc>
        <w:tc>
          <w:tcPr>
            <w:tcW w:w="363" w:type="pct"/>
            <w:tcBorders>
              <w:top w:val="single" w:sz="4" w:space="0" w:color="000000"/>
              <w:left w:val="nil"/>
              <w:bottom w:val="nil"/>
              <w:right w:val="nil"/>
            </w:tcBorders>
            <w:shd w:val="clear" w:color="auto" w:fill="auto"/>
            <w:tcMar>
              <w:top w:w="17" w:type="dxa"/>
              <w:left w:w="17" w:type="dxa"/>
              <w:bottom w:w="0" w:type="dxa"/>
              <w:right w:w="17" w:type="dxa"/>
            </w:tcMar>
            <w:vAlign w:val="center"/>
            <w:hideMark/>
          </w:tcPr>
          <w:p w14:paraId="6C144AB2" w14:textId="1E58FB36"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529" w:type="pct"/>
            <w:tcBorders>
              <w:top w:val="single" w:sz="4" w:space="0" w:color="000000"/>
              <w:left w:val="nil"/>
              <w:bottom w:val="nil"/>
              <w:right w:val="single" w:sz="8" w:space="0" w:color="000000"/>
            </w:tcBorders>
            <w:shd w:val="clear" w:color="auto" w:fill="auto"/>
            <w:tcMar>
              <w:top w:w="17" w:type="dxa"/>
              <w:left w:w="17" w:type="dxa"/>
              <w:bottom w:w="0" w:type="dxa"/>
              <w:right w:w="17" w:type="dxa"/>
            </w:tcMar>
            <w:vAlign w:val="center"/>
            <w:hideMark/>
          </w:tcPr>
          <w:p w14:paraId="61828726" w14:textId="023A0E4A" w:rsidR="006E67DF" w:rsidRPr="00537BCC" w:rsidRDefault="006E67DF" w:rsidP="006E67DF">
            <w:pPr>
              <w:jc w:val="center"/>
              <w:rPr>
                <w:rFonts w:ascii="Arial" w:hAnsi="Arial" w:cs="Arial"/>
                <w:sz w:val="18"/>
                <w:szCs w:val="18"/>
              </w:rPr>
            </w:pPr>
            <w:r w:rsidRPr="00537BCC">
              <w:rPr>
                <w:rFonts w:ascii="Arial" w:hAnsi="Arial" w:cs="Arial"/>
                <w:sz w:val="18"/>
                <w:szCs w:val="18"/>
              </w:rPr>
              <w:t>8</w:t>
            </w:r>
            <w:r w:rsidR="008C14E2">
              <w:rPr>
                <w:rFonts w:ascii="Arial" w:hAnsi="Arial" w:cs="Arial"/>
                <w:sz w:val="18"/>
                <w:szCs w:val="18"/>
              </w:rPr>
              <w:t>,</w:t>
            </w:r>
            <w:r w:rsidRPr="00537BCC">
              <w:rPr>
                <w:rFonts w:ascii="Arial" w:hAnsi="Arial" w:cs="Arial"/>
                <w:sz w:val="18"/>
                <w:szCs w:val="18"/>
              </w:rPr>
              <w:t>000</w:t>
            </w:r>
          </w:p>
        </w:tc>
      </w:tr>
      <w:tr w:rsidR="006E67DF" w:rsidRPr="00537BCC" w14:paraId="0C3C9BC3" w14:textId="77777777" w:rsidTr="008C14E2">
        <w:trPr>
          <w:trHeight w:val="216"/>
        </w:trPr>
        <w:tc>
          <w:tcPr>
            <w:tcW w:w="380" w:type="pct"/>
            <w:vMerge/>
            <w:tcBorders>
              <w:left w:val="single" w:sz="8" w:space="0" w:color="000000"/>
              <w:right w:val="nil"/>
            </w:tcBorders>
            <w:shd w:val="clear" w:color="auto" w:fill="auto"/>
            <w:tcMar>
              <w:top w:w="17" w:type="dxa"/>
              <w:left w:w="17" w:type="dxa"/>
              <w:bottom w:w="0" w:type="dxa"/>
              <w:right w:w="17" w:type="dxa"/>
            </w:tcMar>
            <w:vAlign w:val="center"/>
            <w:hideMark/>
          </w:tcPr>
          <w:p w14:paraId="581E0470" w14:textId="77777777" w:rsidR="006E67DF" w:rsidRPr="00537BCC" w:rsidRDefault="006E67DF" w:rsidP="006E67DF">
            <w:pPr>
              <w:jc w:val="center"/>
              <w:rPr>
                <w:rFonts w:ascii="Arial" w:hAnsi="Arial" w:cs="Arial"/>
                <w:sz w:val="18"/>
                <w:szCs w:val="18"/>
              </w:rPr>
            </w:pPr>
          </w:p>
        </w:tc>
        <w:tc>
          <w:tcPr>
            <w:tcW w:w="502" w:type="pct"/>
            <w:vMerge/>
            <w:tcBorders>
              <w:left w:val="nil"/>
              <w:right w:val="nil"/>
            </w:tcBorders>
            <w:shd w:val="clear" w:color="auto" w:fill="auto"/>
            <w:tcMar>
              <w:top w:w="17" w:type="dxa"/>
              <w:left w:w="17" w:type="dxa"/>
              <w:bottom w:w="0" w:type="dxa"/>
              <w:right w:w="17" w:type="dxa"/>
            </w:tcMar>
            <w:vAlign w:val="center"/>
            <w:hideMark/>
          </w:tcPr>
          <w:p w14:paraId="129D310E" w14:textId="77777777" w:rsidR="006E67DF" w:rsidRPr="00537BCC" w:rsidRDefault="006E67DF" w:rsidP="006E67DF">
            <w:pPr>
              <w:jc w:val="center"/>
              <w:rPr>
                <w:rFonts w:ascii="Arial" w:hAnsi="Arial" w:cs="Arial"/>
                <w:sz w:val="18"/>
                <w:szCs w:val="18"/>
              </w:rPr>
            </w:pPr>
          </w:p>
        </w:tc>
        <w:tc>
          <w:tcPr>
            <w:tcW w:w="496" w:type="pct"/>
            <w:vMerge/>
            <w:tcBorders>
              <w:left w:val="nil"/>
              <w:right w:val="nil"/>
            </w:tcBorders>
            <w:shd w:val="clear" w:color="auto" w:fill="auto"/>
            <w:tcMar>
              <w:top w:w="17" w:type="dxa"/>
              <w:left w:w="17" w:type="dxa"/>
              <w:bottom w:w="0" w:type="dxa"/>
              <w:right w:w="17" w:type="dxa"/>
            </w:tcMar>
            <w:vAlign w:val="center"/>
            <w:hideMark/>
          </w:tcPr>
          <w:p w14:paraId="336F9CEF" w14:textId="77777777" w:rsidR="006E67DF" w:rsidRPr="00537BCC" w:rsidRDefault="006E67DF" w:rsidP="006E67DF">
            <w:pPr>
              <w:jc w:val="center"/>
              <w:rPr>
                <w:rFonts w:ascii="Arial" w:hAnsi="Arial" w:cs="Arial"/>
                <w:sz w:val="18"/>
                <w:szCs w:val="18"/>
              </w:rPr>
            </w:pPr>
          </w:p>
        </w:tc>
        <w:tc>
          <w:tcPr>
            <w:tcW w:w="1285" w:type="pct"/>
            <w:vMerge/>
            <w:tcBorders>
              <w:left w:val="nil"/>
              <w:right w:val="single" w:sz="8" w:space="0" w:color="000000"/>
            </w:tcBorders>
            <w:shd w:val="clear" w:color="auto" w:fill="auto"/>
            <w:tcMar>
              <w:top w:w="17" w:type="dxa"/>
              <w:left w:w="17" w:type="dxa"/>
              <w:bottom w:w="0" w:type="dxa"/>
              <w:right w:w="17" w:type="dxa"/>
            </w:tcMar>
            <w:vAlign w:val="center"/>
            <w:hideMark/>
          </w:tcPr>
          <w:p w14:paraId="5BE4552A" w14:textId="77777777" w:rsidR="006E67DF" w:rsidRPr="00537BCC" w:rsidRDefault="006E67DF" w:rsidP="006E67DF">
            <w:pPr>
              <w:jc w:val="center"/>
              <w:rPr>
                <w:rFonts w:ascii="Arial" w:hAnsi="Arial" w:cs="Arial"/>
                <w:sz w:val="18"/>
                <w:szCs w:val="18"/>
              </w:rPr>
            </w:pPr>
          </w:p>
        </w:tc>
        <w:tc>
          <w:tcPr>
            <w:tcW w:w="512" w:type="pct"/>
            <w:vMerge/>
            <w:tcBorders>
              <w:left w:val="single" w:sz="8" w:space="0" w:color="000000"/>
              <w:right w:val="nil"/>
            </w:tcBorders>
            <w:shd w:val="clear" w:color="auto" w:fill="auto"/>
            <w:tcMar>
              <w:top w:w="17" w:type="dxa"/>
              <w:left w:w="17" w:type="dxa"/>
              <w:bottom w:w="0" w:type="dxa"/>
              <w:right w:w="17" w:type="dxa"/>
            </w:tcMar>
            <w:vAlign w:val="center"/>
            <w:hideMark/>
          </w:tcPr>
          <w:p w14:paraId="61A40C04" w14:textId="77777777" w:rsidR="006E67DF" w:rsidRPr="00537BCC" w:rsidRDefault="006E67DF" w:rsidP="006E67DF">
            <w:pPr>
              <w:jc w:val="center"/>
              <w:rPr>
                <w:rFonts w:ascii="Arial" w:hAnsi="Arial" w:cs="Arial"/>
                <w:sz w:val="18"/>
                <w:szCs w:val="18"/>
              </w:rPr>
            </w:pPr>
          </w:p>
        </w:tc>
        <w:tc>
          <w:tcPr>
            <w:tcW w:w="540" w:type="pct"/>
            <w:vMerge/>
            <w:tcBorders>
              <w:left w:val="nil"/>
              <w:right w:val="single" w:sz="8" w:space="0" w:color="000000"/>
            </w:tcBorders>
            <w:shd w:val="clear" w:color="auto" w:fill="auto"/>
            <w:tcMar>
              <w:top w:w="17" w:type="dxa"/>
              <w:left w:w="17" w:type="dxa"/>
              <w:bottom w:w="0" w:type="dxa"/>
              <w:right w:w="17" w:type="dxa"/>
            </w:tcMar>
            <w:vAlign w:val="center"/>
            <w:hideMark/>
          </w:tcPr>
          <w:p w14:paraId="6D6DD489" w14:textId="77777777" w:rsidR="006E67DF" w:rsidRPr="00537BCC" w:rsidRDefault="006E67DF" w:rsidP="006E67DF">
            <w:pPr>
              <w:jc w:val="center"/>
              <w:rPr>
                <w:rFonts w:ascii="Arial" w:hAnsi="Arial" w:cs="Arial"/>
                <w:sz w:val="18"/>
                <w:szCs w:val="18"/>
              </w:rPr>
            </w:pPr>
          </w:p>
        </w:tc>
        <w:tc>
          <w:tcPr>
            <w:tcW w:w="394" w:type="pct"/>
            <w:tcBorders>
              <w:top w:val="nil"/>
              <w:left w:val="single" w:sz="8" w:space="0" w:color="000000"/>
              <w:bottom w:val="nil"/>
              <w:right w:val="nil"/>
            </w:tcBorders>
            <w:shd w:val="clear" w:color="auto" w:fill="auto"/>
            <w:tcMar>
              <w:top w:w="17" w:type="dxa"/>
              <w:left w:w="17" w:type="dxa"/>
              <w:bottom w:w="0" w:type="dxa"/>
              <w:right w:w="17" w:type="dxa"/>
            </w:tcMar>
            <w:vAlign w:val="center"/>
            <w:hideMark/>
          </w:tcPr>
          <w:p w14:paraId="297F78DE"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Sp Ht</w:t>
            </w:r>
          </w:p>
        </w:tc>
        <w:tc>
          <w:tcPr>
            <w:tcW w:w="363" w:type="pct"/>
            <w:tcBorders>
              <w:top w:val="nil"/>
              <w:left w:val="nil"/>
              <w:bottom w:val="nil"/>
              <w:right w:val="nil"/>
            </w:tcBorders>
            <w:shd w:val="clear" w:color="auto" w:fill="auto"/>
            <w:tcMar>
              <w:top w:w="17" w:type="dxa"/>
              <w:left w:w="17" w:type="dxa"/>
              <w:bottom w:w="0" w:type="dxa"/>
              <w:right w:w="17" w:type="dxa"/>
            </w:tcMar>
            <w:vAlign w:val="center"/>
            <w:hideMark/>
          </w:tcPr>
          <w:p w14:paraId="1A4CA21C" w14:textId="009AB63B"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529" w:type="pct"/>
            <w:tcBorders>
              <w:top w:val="nil"/>
              <w:left w:val="nil"/>
              <w:bottom w:val="nil"/>
              <w:right w:val="single" w:sz="8" w:space="0" w:color="000000"/>
            </w:tcBorders>
            <w:shd w:val="clear" w:color="auto" w:fill="auto"/>
            <w:tcMar>
              <w:top w:w="17" w:type="dxa"/>
              <w:left w:w="17" w:type="dxa"/>
              <w:bottom w:w="0" w:type="dxa"/>
              <w:right w:w="17" w:type="dxa"/>
            </w:tcMar>
            <w:vAlign w:val="center"/>
            <w:hideMark/>
          </w:tcPr>
          <w:p w14:paraId="08F3CE43" w14:textId="05F3B064" w:rsidR="006E67DF" w:rsidRPr="00537BCC" w:rsidRDefault="006E67DF" w:rsidP="006E67DF">
            <w:pPr>
              <w:jc w:val="center"/>
              <w:rPr>
                <w:rFonts w:ascii="Arial" w:hAnsi="Arial" w:cs="Arial"/>
                <w:sz w:val="18"/>
                <w:szCs w:val="18"/>
              </w:rPr>
            </w:pPr>
            <w:r w:rsidRPr="00537BCC">
              <w:rPr>
                <w:rFonts w:ascii="Arial" w:hAnsi="Arial" w:cs="Arial"/>
                <w:sz w:val="18"/>
                <w:szCs w:val="18"/>
              </w:rPr>
              <w:t>5</w:t>
            </w:r>
            <w:r w:rsidR="008C14E2">
              <w:rPr>
                <w:rFonts w:ascii="Arial" w:hAnsi="Arial" w:cs="Arial"/>
                <w:sz w:val="18"/>
                <w:szCs w:val="18"/>
              </w:rPr>
              <w:t>,</w:t>
            </w:r>
            <w:r w:rsidRPr="00537BCC">
              <w:rPr>
                <w:rFonts w:ascii="Arial" w:hAnsi="Arial" w:cs="Arial"/>
                <w:sz w:val="18"/>
                <w:szCs w:val="18"/>
              </w:rPr>
              <w:t>600</w:t>
            </w:r>
          </w:p>
        </w:tc>
      </w:tr>
      <w:tr w:rsidR="006E67DF" w:rsidRPr="00537BCC" w14:paraId="48264034" w14:textId="77777777" w:rsidTr="008C14E2">
        <w:trPr>
          <w:trHeight w:val="216"/>
        </w:trPr>
        <w:tc>
          <w:tcPr>
            <w:tcW w:w="380" w:type="pct"/>
            <w:vMerge w:val="restart"/>
            <w:tcBorders>
              <w:top w:val="single" w:sz="4" w:space="0" w:color="000000"/>
              <w:left w:val="single" w:sz="8" w:space="0" w:color="000000"/>
              <w:right w:val="nil"/>
            </w:tcBorders>
            <w:shd w:val="clear" w:color="auto" w:fill="auto"/>
            <w:tcMar>
              <w:top w:w="17" w:type="dxa"/>
              <w:left w:w="17" w:type="dxa"/>
              <w:bottom w:w="0" w:type="dxa"/>
              <w:right w:w="17" w:type="dxa"/>
            </w:tcMar>
            <w:vAlign w:val="center"/>
            <w:hideMark/>
          </w:tcPr>
          <w:p w14:paraId="0C303CE4"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2046</w:t>
            </w:r>
          </w:p>
        </w:tc>
        <w:tc>
          <w:tcPr>
            <w:tcW w:w="502" w:type="pct"/>
            <w:vMerge w:val="restart"/>
            <w:tcBorders>
              <w:top w:val="single" w:sz="4" w:space="0" w:color="000000"/>
              <w:left w:val="nil"/>
              <w:right w:val="nil"/>
            </w:tcBorders>
            <w:shd w:val="clear" w:color="auto" w:fill="auto"/>
            <w:tcMar>
              <w:top w:w="17" w:type="dxa"/>
              <w:left w:w="17" w:type="dxa"/>
              <w:bottom w:w="0" w:type="dxa"/>
              <w:right w:w="17" w:type="dxa"/>
            </w:tcMar>
            <w:vAlign w:val="center"/>
            <w:hideMark/>
          </w:tcPr>
          <w:p w14:paraId="319CC162"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2046</w:t>
            </w:r>
          </w:p>
        </w:tc>
        <w:tc>
          <w:tcPr>
            <w:tcW w:w="496" w:type="pct"/>
            <w:vMerge w:val="restart"/>
            <w:tcBorders>
              <w:top w:val="single" w:sz="4" w:space="0" w:color="000000"/>
              <w:left w:val="nil"/>
              <w:right w:val="nil"/>
            </w:tcBorders>
            <w:shd w:val="clear" w:color="auto" w:fill="auto"/>
            <w:tcMar>
              <w:top w:w="17" w:type="dxa"/>
              <w:left w:w="17" w:type="dxa"/>
              <w:bottom w:w="0" w:type="dxa"/>
              <w:right w:w="17" w:type="dxa"/>
            </w:tcMar>
            <w:vAlign w:val="center"/>
            <w:hideMark/>
          </w:tcPr>
          <w:p w14:paraId="65B39C2C"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311221</w:t>
            </w:r>
          </w:p>
        </w:tc>
        <w:tc>
          <w:tcPr>
            <w:tcW w:w="1285" w:type="pct"/>
            <w:vMerge w:val="restart"/>
            <w:tcBorders>
              <w:top w:val="single" w:sz="4" w:space="0" w:color="000000"/>
              <w:left w:val="nil"/>
              <w:right w:val="single" w:sz="8" w:space="0" w:color="000000"/>
            </w:tcBorders>
            <w:shd w:val="clear" w:color="auto" w:fill="auto"/>
            <w:tcMar>
              <w:top w:w="17" w:type="dxa"/>
              <w:left w:w="17" w:type="dxa"/>
              <w:bottom w:w="0" w:type="dxa"/>
              <w:right w:w="17" w:type="dxa"/>
            </w:tcMar>
            <w:vAlign w:val="center"/>
            <w:hideMark/>
          </w:tcPr>
          <w:p w14:paraId="367B4071"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Wet Corn Milling</w:t>
            </w:r>
          </w:p>
        </w:tc>
        <w:tc>
          <w:tcPr>
            <w:tcW w:w="512" w:type="pct"/>
            <w:vMerge w:val="restart"/>
            <w:tcBorders>
              <w:top w:val="single" w:sz="4" w:space="0" w:color="000000"/>
              <w:left w:val="single" w:sz="8" w:space="0" w:color="000000"/>
              <w:right w:val="nil"/>
            </w:tcBorders>
            <w:shd w:val="clear" w:color="auto" w:fill="auto"/>
            <w:tcMar>
              <w:top w:w="17" w:type="dxa"/>
              <w:left w:w="17" w:type="dxa"/>
              <w:bottom w:w="0" w:type="dxa"/>
              <w:right w:w="17" w:type="dxa"/>
            </w:tcMar>
            <w:vAlign w:val="center"/>
            <w:hideMark/>
          </w:tcPr>
          <w:p w14:paraId="3163FD94"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Boiler</w:t>
            </w:r>
          </w:p>
        </w:tc>
        <w:tc>
          <w:tcPr>
            <w:tcW w:w="540" w:type="pct"/>
            <w:vMerge w:val="restart"/>
            <w:tcBorders>
              <w:top w:val="single" w:sz="4" w:space="0" w:color="000000"/>
              <w:left w:val="nil"/>
              <w:right w:val="single" w:sz="8" w:space="0" w:color="000000"/>
            </w:tcBorders>
            <w:shd w:val="clear" w:color="auto" w:fill="auto"/>
            <w:tcMar>
              <w:top w:w="17" w:type="dxa"/>
              <w:left w:w="17" w:type="dxa"/>
              <w:bottom w:w="0" w:type="dxa"/>
              <w:right w:w="17" w:type="dxa"/>
            </w:tcMar>
            <w:vAlign w:val="center"/>
            <w:hideMark/>
          </w:tcPr>
          <w:p w14:paraId="6403D807" w14:textId="765E5B60"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394" w:type="pct"/>
            <w:tcBorders>
              <w:top w:val="single" w:sz="4" w:space="0" w:color="000000"/>
              <w:left w:val="single" w:sz="8" w:space="0" w:color="000000"/>
              <w:bottom w:val="nil"/>
              <w:right w:val="nil"/>
            </w:tcBorders>
            <w:shd w:val="clear" w:color="auto" w:fill="auto"/>
            <w:tcMar>
              <w:top w:w="17" w:type="dxa"/>
              <w:left w:w="17" w:type="dxa"/>
              <w:bottom w:w="0" w:type="dxa"/>
              <w:right w:w="17" w:type="dxa"/>
            </w:tcMar>
            <w:vAlign w:val="center"/>
            <w:hideMark/>
          </w:tcPr>
          <w:p w14:paraId="02836667"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Steam</w:t>
            </w:r>
          </w:p>
        </w:tc>
        <w:tc>
          <w:tcPr>
            <w:tcW w:w="363" w:type="pct"/>
            <w:tcBorders>
              <w:top w:val="single" w:sz="4" w:space="0" w:color="000000"/>
              <w:left w:val="nil"/>
              <w:bottom w:val="nil"/>
              <w:right w:val="nil"/>
            </w:tcBorders>
            <w:shd w:val="clear" w:color="auto" w:fill="auto"/>
            <w:tcMar>
              <w:top w:w="17" w:type="dxa"/>
              <w:left w:w="17" w:type="dxa"/>
              <w:bottom w:w="0" w:type="dxa"/>
              <w:right w:w="17" w:type="dxa"/>
            </w:tcMar>
            <w:vAlign w:val="center"/>
            <w:hideMark/>
          </w:tcPr>
          <w:p w14:paraId="05FC3970" w14:textId="1CE46245"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529" w:type="pct"/>
            <w:tcBorders>
              <w:top w:val="single" w:sz="4" w:space="0" w:color="000000"/>
              <w:left w:val="nil"/>
              <w:bottom w:val="nil"/>
              <w:right w:val="single" w:sz="8" w:space="0" w:color="000000"/>
            </w:tcBorders>
            <w:shd w:val="clear" w:color="auto" w:fill="auto"/>
            <w:tcMar>
              <w:top w:w="17" w:type="dxa"/>
              <w:left w:w="17" w:type="dxa"/>
              <w:bottom w:w="0" w:type="dxa"/>
              <w:right w:w="17" w:type="dxa"/>
            </w:tcMar>
            <w:vAlign w:val="center"/>
            <w:hideMark/>
          </w:tcPr>
          <w:p w14:paraId="38344420" w14:textId="49FA4AD6" w:rsidR="006E67DF" w:rsidRPr="00537BCC" w:rsidRDefault="006E67DF" w:rsidP="006E67DF">
            <w:pPr>
              <w:jc w:val="center"/>
              <w:rPr>
                <w:rFonts w:ascii="Arial" w:hAnsi="Arial" w:cs="Arial"/>
                <w:sz w:val="18"/>
                <w:szCs w:val="18"/>
              </w:rPr>
            </w:pPr>
            <w:r w:rsidRPr="00537BCC">
              <w:rPr>
                <w:rFonts w:ascii="Arial" w:hAnsi="Arial" w:cs="Arial"/>
                <w:sz w:val="18"/>
                <w:szCs w:val="18"/>
              </w:rPr>
              <w:t>1</w:t>
            </w:r>
            <w:r w:rsidR="008C14E2">
              <w:rPr>
                <w:rFonts w:ascii="Arial" w:hAnsi="Arial" w:cs="Arial"/>
                <w:sz w:val="18"/>
                <w:szCs w:val="18"/>
              </w:rPr>
              <w:t>,</w:t>
            </w:r>
            <w:r w:rsidRPr="00537BCC">
              <w:rPr>
                <w:rFonts w:ascii="Arial" w:hAnsi="Arial" w:cs="Arial"/>
                <w:sz w:val="18"/>
                <w:szCs w:val="18"/>
              </w:rPr>
              <w:t>420</w:t>
            </w:r>
          </w:p>
        </w:tc>
      </w:tr>
      <w:tr w:rsidR="006E67DF" w:rsidRPr="00537BCC" w14:paraId="74A1C64A" w14:textId="77777777" w:rsidTr="008C14E2">
        <w:trPr>
          <w:trHeight w:val="216"/>
        </w:trPr>
        <w:tc>
          <w:tcPr>
            <w:tcW w:w="380" w:type="pct"/>
            <w:vMerge/>
            <w:tcBorders>
              <w:left w:val="single" w:sz="8" w:space="0" w:color="000000"/>
              <w:bottom w:val="single" w:sz="4" w:space="0" w:color="000000"/>
              <w:right w:val="nil"/>
            </w:tcBorders>
            <w:shd w:val="clear" w:color="auto" w:fill="auto"/>
            <w:tcMar>
              <w:top w:w="17" w:type="dxa"/>
              <w:left w:w="17" w:type="dxa"/>
              <w:bottom w:w="0" w:type="dxa"/>
              <w:right w:w="17" w:type="dxa"/>
            </w:tcMar>
            <w:vAlign w:val="center"/>
            <w:hideMark/>
          </w:tcPr>
          <w:p w14:paraId="7E79EB78" w14:textId="77777777" w:rsidR="006E67DF" w:rsidRPr="00537BCC" w:rsidRDefault="006E67DF" w:rsidP="006E67DF">
            <w:pPr>
              <w:jc w:val="center"/>
              <w:rPr>
                <w:rFonts w:ascii="Arial" w:hAnsi="Arial" w:cs="Arial"/>
                <w:sz w:val="18"/>
                <w:szCs w:val="18"/>
              </w:rPr>
            </w:pPr>
          </w:p>
        </w:tc>
        <w:tc>
          <w:tcPr>
            <w:tcW w:w="502" w:type="pct"/>
            <w:vMerge/>
            <w:tcBorders>
              <w:left w:val="nil"/>
              <w:bottom w:val="single" w:sz="4" w:space="0" w:color="000000"/>
              <w:right w:val="nil"/>
            </w:tcBorders>
            <w:shd w:val="clear" w:color="auto" w:fill="auto"/>
            <w:tcMar>
              <w:top w:w="17" w:type="dxa"/>
              <w:left w:w="17" w:type="dxa"/>
              <w:bottom w:w="0" w:type="dxa"/>
              <w:right w:w="17" w:type="dxa"/>
            </w:tcMar>
            <w:vAlign w:val="center"/>
            <w:hideMark/>
          </w:tcPr>
          <w:p w14:paraId="264B5FF8" w14:textId="77777777" w:rsidR="006E67DF" w:rsidRPr="00537BCC" w:rsidRDefault="006E67DF" w:rsidP="006E67DF">
            <w:pPr>
              <w:jc w:val="center"/>
              <w:rPr>
                <w:rFonts w:ascii="Arial" w:hAnsi="Arial" w:cs="Arial"/>
                <w:sz w:val="18"/>
                <w:szCs w:val="18"/>
              </w:rPr>
            </w:pPr>
          </w:p>
        </w:tc>
        <w:tc>
          <w:tcPr>
            <w:tcW w:w="496" w:type="pct"/>
            <w:vMerge/>
            <w:tcBorders>
              <w:left w:val="nil"/>
              <w:bottom w:val="single" w:sz="4" w:space="0" w:color="000000"/>
              <w:right w:val="nil"/>
            </w:tcBorders>
            <w:shd w:val="clear" w:color="auto" w:fill="auto"/>
            <w:tcMar>
              <w:top w:w="17" w:type="dxa"/>
              <w:left w:w="17" w:type="dxa"/>
              <w:bottom w:w="0" w:type="dxa"/>
              <w:right w:w="17" w:type="dxa"/>
            </w:tcMar>
            <w:vAlign w:val="center"/>
            <w:hideMark/>
          </w:tcPr>
          <w:p w14:paraId="34AD6CDC" w14:textId="77777777" w:rsidR="006E67DF" w:rsidRPr="00537BCC" w:rsidRDefault="006E67DF" w:rsidP="006E67DF">
            <w:pPr>
              <w:jc w:val="center"/>
              <w:rPr>
                <w:rFonts w:ascii="Arial" w:hAnsi="Arial" w:cs="Arial"/>
                <w:sz w:val="18"/>
                <w:szCs w:val="18"/>
              </w:rPr>
            </w:pPr>
          </w:p>
        </w:tc>
        <w:tc>
          <w:tcPr>
            <w:tcW w:w="1285" w:type="pct"/>
            <w:vMerge/>
            <w:tcBorders>
              <w:left w:val="nil"/>
              <w:bottom w:val="single" w:sz="4" w:space="0" w:color="000000"/>
              <w:right w:val="single" w:sz="8" w:space="0" w:color="000000"/>
            </w:tcBorders>
            <w:shd w:val="clear" w:color="auto" w:fill="auto"/>
            <w:tcMar>
              <w:top w:w="17" w:type="dxa"/>
              <w:left w:w="17" w:type="dxa"/>
              <w:bottom w:w="0" w:type="dxa"/>
              <w:right w:w="17" w:type="dxa"/>
            </w:tcMar>
            <w:vAlign w:val="center"/>
            <w:hideMark/>
          </w:tcPr>
          <w:p w14:paraId="7C35FD80" w14:textId="77777777" w:rsidR="006E67DF" w:rsidRPr="00537BCC" w:rsidRDefault="006E67DF" w:rsidP="006E67DF">
            <w:pPr>
              <w:jc w:val="center"/>
              <w:rPr>
                <w:rFonts w:ascii="Arial" w:hAnsi="Arial" w:cs="Arial"/>
                <w:sz w:val="18"/>
                <w:szCs w:val="18"/>
              </w:rPr>
            </w:pPr>
          </w:p>
        </w:tc>
        <w:tc>
          <w:tcPr>
            <w:tcW w:w="512" w:type="pct"/>
            <w:vMerge/>
            <w:tcBorders>
              <w:left w:val="single" w:sz="8" w:space="0" w:color="000000"/>
              <w:bottom w:val="single" w:sz="4" w:space="0" w:color="000000"/>
              <w:right w:val="nil"/>
            </w:tcBorders>
            <w:shd w:val="clear" w:color="auto" w:fill="auto"/>
            <w:tcMar>
              <w:top w:w="17" w:type="dxa"/>
              <w:left w:w="17" w:type="dxa"/>
              <w:bottom w:w="0" w:type="dxa"/>
              <w:right w:w="17" w:type="dxa"/>
            </w:tcMar>
            <w:vAlign w:val="center"/>
            <w:hideMark/>
          </w:tcPr>
          <w:p w14:paraId="3E4AFF93" w14:textId="77777777" w:rsidR="006E67DF" w:rsidRPr="00537BCC" w:rsidRDefault="006E67DF" w:rsidP="006E67DF">
            <w:pPr>
              <w:jc w:val="center"/>
              <w:rPr>
                <w:rFonts w:ascii="Arial" w:hAnsi="Arial" w:cs="Arial"/>
                <w:sz w:val="18"/>
                <w:szCs w:val="18"/>
              </w:rPr>
            </w:pPr>
          </w:p>
        </w:tc>
        <w:tc>
          <w:tcPr>
            <w:tcW w:w="540" w:type="pct"/>
            <w:vMerge/>
            <w:tcBorders>
              <w:left w:val="nil"/>
              <w:bottom w:val="single" w:sz="4" w:space="0" w:color="000000"/>
              <w:right w:val="single" w:sz="8" w:space="0" w:color="000000"/>
            </w:tcBorders>
            <w:shd w:val="clear" w:color="auto" w:fill="auto"/>
            <w:tcMar>
              <w:top w:w="17" w:type="dxa"/>
              <w:left w:w="17" w:type="dxa"/>
              <w:bottom w:w="0" w:type="dxa"/>
              <w:right w:w="17" w:type="dxa"/>
            </w:tcMar>
            <w:vAlign w:val="center"/>
            <w:hideMark/>
          </w:tcPr>
          <w:p w14:paraId="5E3B8FC7" w14:textId="77777777" w:rsidR="006E67DF" w:rsidRPr="00537BCC" w:rsidRDefault="006E67DF" w:rsidP="006E67DF">
            <w:pPr>
              <w:jc w:val="center"/>
              <w:rPr>
                <w:rFonts w:ascii="Arial" w:hAnsi="Arial" w:cs="Arial"/>
                <w:sz w:val="18"/>
                <w:szCs w:val="18"/>
              </w:rPr>
            </w:pPr>
          </w:p>
        </w:tc>
        <w:tc>
          <w:tcPr>
            <w:tcW w:w="394" w:type="pct"/>
            <w:tcBorders>
              <w:top w:val="nil"/>
              <w:left w:val="single" w:sz="8" w:space="0" w:color="000000"/>
              <w:bottom w:val="single" w:sz="4" w:space="0" w:color="000000"/>
              <w:right w:val="nil"/>
            </w:tcBorders>
            <w:shd w:val="clear" w:color="auto" w:fill="auto"/>
            <w:tcMar>
              <w:top w:w="17" w:type="dxa"/>
              <w:left w:w="17" w:type="dxa"/>
              <w:bottom w:w="0" w:type="dxa"/>
              <w:right w:w="17" w:type="dxa"/>
            </w:tcMar>
            <w:vAlign w:val="center"/>
            <w:hideMark/>
          </w:tcPr>
          <w:p w14:paraId="2E07BC48" w14:textId="77777777" w:rsidR="006E67DF" w:rsidRPr="00537BCC" w:rsidRDefault="006E67DF" w:rsidP="006E67DF">
            <w:pPr>
              <w:jc w:val="center"/>
              <w:rPr>
                <w:rFonts w:ascii="Arial" w:hAnsi="Arial" w:cs="Arial"/>
                <w:sz w:val="18"/>
                <w:szCs w:val="18"/>
              </w:rPr>
            </w:pPr>
            <w:r w:rsidRPr="00537BCC">
              <w:rPr>
                <w:rFonts w:ascii="Arial" w:hAnsi="Arial" w:cs="Arial"/>
                <w:sz w:val="18"/>
                <w:szCs w:val="18"/>
              </w:rPr>
              <w:t>Sp Ht</w:t>
            </w:r>
          </w:p>
        </w:tc>
        <w:tc>
          <w:tcPr>
            <w:tcW w:w="363" w:type="pct"/>
            <w:tcBorders>
              <w:top w:val="nil"/>
              <w:left w:val="nil"/>
              <w:bottom w:val="single" w:sz="4" w:space="0" w:color="000000"/>
              <w:right w:val="nil"/>
            </w:tcBorders>
            <w:shd w:val="clear" w:color="auto" w:fill="auto"/>
            <w:tcMar>
              <w:top w:w="17" w:type="dxa"/>
              <w:left w:w="17" w:type="dxa"/>
              <w:bottom w:w="0" w:type="dxa"/>
              <w:right w:w="17" w:type="dxa"/>
            </w:tcMar>
            <w:vAlign w:val="center"/>
            <w:hideMark/>
          </w:tcPr>
          <w:p w14:paraId="79CEDAB6" w14:textId="57691BDA" w:rsidR="006E67DF" w:rsidRPr="00537BCC" w:rsidRDefault="001C7AB4" w:rsidP="006E67DF">
            <w:pPr>
              <w:jc w:val="center"/>
              <w:rPr>
                <w:rFonts w:ascii="Arial" w:hAnsi="Arial" w:cs="Arial"/>
                <w:sz w:val="18"/>
                <w:szCs w:val="18"/>
              </w:rPr>
            </w:pPr>
            <w:r>
              <w:rPr>
                <w:rFonts w:ascii="Arial" w:hAnsi="Arial" w:cs="Arial"/>
                <w:sz w:val="18"/>
                <w:szCs w:val="18"/>
              </w:rPr>
              <w:t>120</w:t>
            </w:r>
          </w:p>
        </w:tc>
        <w:tc>
          <w:tcPr>
            <w:tcW w:w="529" w:type="pct"/>
            <w:tcBorders>
              <w:top w:val="nil"/>
              <w:left w:val="nil"/>
              <w:bottom w:val="single" w:sz="4" w:space="0" w:color="000000"/>
              <w:right w:val="single" w:sz="8" w:space="0" w:color="000000"/>
            </w:tcBorders>
            <w:shd w:val="clear" w:color="auto" w:fill="auto"/>
            <w:tcMar>
              <w:top w:w="17" w:type="dxa"/>
              <w:left w:w="17" w:type="dxa"/>
              <w:bottom w:w="0" w:type="dxa"/>
              <w:right w:w="17" w:type="dxa"/>
            </w:tcMar>
            <w:vAlign w:val="center"/>
            <w:hideMark/>
          </w:tcPr>
          <w:p w14:paraId="0FA9800A" w14:textId="77777777" w:rsidR="006E67DF" w:rsidRPr="00537BCC" w:rsidRDefault="006E67DF" w:rsidP="006E67DF">
            <w:pPr>
              <w:keepNext/>
              <w:jc w:val="center"/>
              <w:rPr>
                <w:rFonts w:ascii="Arial" w:hAnsi="Arial" w:cs="Arial"/>
                <w:sz w:val="18"/>
                <w:szCs w:val="18"/>
              </w:rPr>
            </w:pPr>
            <w:r w:rsidRPr="00537BCC">
              <w:rPr>
                <w:rFonts w:ascii="Arial" w:hAnsi="Arial" w:cs="Arial"/>
                <w:sz w:val="18"/>
                <w:szCs w:val="18"/>
              </w:rPr>
              <w:t>125</w:t>
            </w:r>
          </w:p>
        </w:tc>
      </w:tr>
    </w:tbl>
    <w:p w14:paraId="078E4392" w14:textId="78F7E3F5" w:rsidR="00026D34" w:rsidRPr="00026D34" w:rsidRDefault="00026D34" w:rsidP="00814606">
      <w:pPr>
        <w:rPr>
          <w:rFonts w:ascii="Arial" w:hAnsi="Arial" w:cs="Arial"/>
          <w:sz w:val="16"/>
        </w:rPr>
      </w:pPr>
      <w:r w:rsidRPr="00026D34">
        <w:rPr>
          <w:rFonts w:ascii="Arial" w:hAnsi="Arial" w:cs="Arial"/>
          <w:sz w:val="16"/>
        </w:rPr>
        <w:t>SIC – Standard Industrial Classification</w:t>
      </w:r>
    </w:p>
    <w:p w14:paraId="2C8D0AB8" w14:textId="77777777" w:rsidR="00026D34" w:rsidRDefault="00026D34" w:rsidP="00814606">
      <w:pPr>
        <w:rPr>
          <w:rFonts w:cs="Times New Roman"/>
        </w:rPr>
      </w:pPr>
    </w:p>
    <w:p w14:paraId="5F1307B1" w14:textId="3C5F4B28" w:rsidR="00797251" w:rsidRDefault="0021194B" w:rsidP="00814606">
      <w:pPr>
        <w:rPr>
          <w:rFonts w:cs="Times New Roman"/>
        </w:rPr>
      </w:pPr>
      <w:r>
        <w:rPr>
          <w:rFonts w:cs="Times New Roman"/>
        </w:rPr>
        <w:t xml:space="preserve">The data from Brown et al. </w:t>
      </w:r>
      <w:r w:rsidR="003B6218">
        <w:rPr>
          <w:rFonts w:cs="Times New Roman"/>
        </w:rPr>
        <w:t xml:space="preserve">(1985) </w:t>
      </w:r>
      <w:r>
        <w:rPr>
          <w:rFonts w:cs="Times New Roman"/>
        </w:rPr>
        <w:t>was then merged with MECS thermal demand data, based on the 6-digit NAICS codes that were common between the two datasets.</w:t>
      </w:r>
      <w:r w:rsidR="001E09AF">
        <w:rPr>
          <w:rFonts w:cs="Times New Roman"/>
        </w:rPr>
        <w:t xml:space="preserve"> While MECS reported a total of 83 industries at various levels, 47 had data at the 6-digit level and only </w:t>
      </w:r>
      <w:r w:rsidR="003A6139">
        <w:rPr>
          <w:rFonts w:cs="Times New Roman"/>
        </w:rPr>
        <w:t xml:space="preserve">14 codes were </w:t>
      </w:r>
      <w:r w:rsidR="00A90F40">
        <w:rPr>
          <w:rFonts w:cs="Times New Roman"/>
        </w:rPr>
        <w:t>common</w:t>
      </w:r>
      <w:r w:rsidR="003A6139">
        <w:rPr>
          <w:rFonts w:cs="Times New Roman"/>
        </w:rPr>
        <w:t xml:space="preserve"> between the two datasets.</w:t>
      </w:r>
      <w:r w:rsidR="00FE1148">
        <w:rPr>
          <w:rFonts w:cs="Times New Roman"/>
        </w:rPr>
        <w:t xml:space="preserve"> </w:t>
      </w:r>
      <w:r w:rsidR="003B6218">
        <w:rPr>
          <w:rFonts w:cs="Times New Roman"/>
        </w:rPr>
        <w:t>T</w:t>
      </w:r>
      <w:r w:rsidR="00FE1148">
        <w:rPr>
          <w:rFonts w:cs="Times New Roman"/>
        </w:rPr>
        <w:t xml:space="preserve">his analysis resulted in fewer industries and thus less national coverage than </w:t>
      </w:r>
      <w:r w:rsidR="005A3B35">
        <w:rPr>
          <w:rFonts w:cs="Times New Roman"/>
        </w:rPr>
        <w:t xml:space="preserve">we initially </w:t>
      </w:r>
      <w:r w:rsidR="00FE1148">
        <w:rPr>
          <w:rFonts w:cs="Times New Roman"/>
        </w:rPr>
        <w:t xml:space="preserve">expected </w:t>
      </w:r>
      <w:r w:rsidR="003B6218">
        <w:rPr>
          <w:rFonts w:cs="Times New Roman"/>
        </w:rPr>
        <w:t>due</w:t>
      </w:r>
      <w:r w:rsidR="00FE1148">
        <w:rPr>
          <w:rFonts w:cs="Times New Roman"/>
        </w:rPr>
        <w:t xml:space="preserve"> to the temperature bounds of the study.</w:t>
      </w:r>
      <w:r w:rsidR="004A508D">
        <w:rPr>
          <w:rFonts w:cs="Times New Roman"/>
        </w:rPr>
        <w:t xml:space="preserve"> </w:t>
      </w:r>
      <w:r w:rsidR="00F13218">
        <w:rPr>
          <w:rFonts w:cs="Times New Roman"/>
        </w:rPr>
        <w:fldChar w:fldCharType="begin"/>
      </w:r>
      <w:r w:rsidR="00F13218">
        <w:rPr>
          <w:rFonts w:cs="Times New Roman"/>
        </w:rPr>
        <w:instrText xml:space="preserve"> REF _Ref323459335 \h </w:instrText>
      </w:r>
      <w:r w:rsidR="00F13218">
        <w:rPr>
          <w:rFonts w:cs="Times New Roman"/>
        </w:rPr>
      </w:r>
      <w:r w:rsidR="00F13218">
        <w:rPr>
          <w:rFonts w:cs="Times New Roman"/>
        </w:rPr>
        <w:fldChar w:fldCharType="separate"/>
      </w:r>
      <w:r w:rsidR="00244063" w:rsidRPr="00A15D31">
        <w:t xml:space="preserve">Figure </w:t>
      </w:r>
      <w:r w:rsidR="00244063">
        <w:rPr>
          <w:noProof/>
        </w:rPr>
        <w:t>7</w:t>
      </w:r>
      <w:r w:rsidR="00F13218">
        <w:rPr>
          <w:rFonts w:cs="Times New Roman"/>
        </w:rPr>
        <w:fldChar w:fldCharType="end"/>
      </w:r>
      <w:r w:rsidR="005A3B35">
        <w:rPr>
          <w:rFonts w:cs="Times New Roman"/>
        </w:rPr>
        <w:t xml:space="preserve"> </w:t>
      </w:r>
      <w:r w:rsidR="003B6218">
        <w:rPr>
          <w:rFonts w:cs="Times New Roman"/>
        </w:rPr>
        <w:t>ranks</w:t>
      </w:r>
      <w:r w:rsidR="00671543">
        <w:rPr>
          <w:rFonts w:cs="Times New Roman"/>
        </w:rPr>
        <w:t xml:space="preserve"> the </w:t>
      </w:r>
      <w:r w:rsidR="005A3B35">
        <w:rPr>
          <w:rFonts w:cs="Times New Roman"/>
        </w:rPr>
        <w:t xml:space="preserve">down-selected </w:t>
      </w:r>
      <w:r w:rsidR="00671543">
        <w:rPr>
          <w:rFonts w:cs="Times New Roman"/>
        </w:rPr>
        <w:t>industries by thermal demand (</w:t>
      </w:r>
      <w:r w:rsidR="003B6218">
        <w:rPr>
          <w:rFonts w:cs="Times New Roman"/>
        </w:rPr>
        <w:t>t</w:t>
      </w:r>
      <w:r w:rsidR="00671543">
        <w:rPr>
          <w:rFonts w:cs="Times New Roman"/>
        </w:rPr>
        <w:t xml:space="preserve">rillion </w:t>
      </w:r>
      <w:r w:rsidR="008F7D6F">
        <w:rPr>
          <w:rFonts w:cs="Times New Roman"/>
        </w:rPr>
        <w:t>Btu</w:t>
      </w:r>
      <w:r w:rsidR="00671543">
        <w:rPr>
          <w:rFonts w:cs="Times New Roman"/>
        </w:rPr>
        <w:t>)</w:t>
      </w:r>
      <w:r w:rsidR="004A508D">
        <w:rPr>
          <w:rFonts w:cs="Times New Roman"/>
        </w:rPr>
        <w:t>, with the bar colors corresponding to the remaining two steam temperatures utilized by the 14 industries.</w:t>
      </w:r>
      <w:r w:rsidR="004026C6">
        <w:rPr>
          <w:rFonts w:cs="Times New Roman"/>
        </w:rPr>
        <w:t xml:space="preserve"> Note that entries with </w:t>
      </w:r>
      <w:r w:rsidR="000967B4">
        <w:rPr>
          <w:rFonts w:cs="Times New Roman"/>
        </w:rPr>
        <w:t xml:space="preserve">zero </w:t>
      </w:r>
      <w:r w:rsidR="004026C6">
        <w:rPr>
          <w:rFonts w:cs="Times New Roman"/>
        </w:rPr>
        <w:t xml:space="preserve">demand represent industries </w:t>
      </w:r>
      <w:r w:rsidR="003B6218">
        <w:rPr>
          <w:rFonts w:cs="Times New Roman"/>
        </w:rPr>
        <w:t xml:space="preserve">that </w:t>
      </w:r>
      <w:r w:rsidR="004026C6">
        <w:rPr>
          <w:rFonts w:cs="Times New Roman"/>
        </w:rPr>
        <w:t xml:space="preserve">withheld data to preserve </w:t>
      </w:r>
      <w:r w:rsidR="00B30A24">
        <w:rPr>
          <w:rFonts w:cs="Times New Roman"/>
        </w:rPr>
        <w:t xml:space="preserve">facility-specific </w:t>
      </w:r>
      <w:r w:rsidR="004026C6">
        <w:rPr>
          <w:rFonts w:cs="Times New Roman"/>
        </w:rPr>
        <w:t>anonymity.</w:t>
      </w:r>
    </w:p>
    <w:p w14:paraId="79033797" w14:textId="77777777" w:rsidR="004A508D" w:rsidRDefault="004A508D" w:rsidP="00814606">
      <w:pPr>
        <w:rPr>
          <w:rFonts w:cs="Times New Roman"/>
        </w:rPr>
      </w:pPr>
    </w:p>
    <w:p w14:paraId="69677B7D" w14:textId="2F499E90" w:rsidR="004330A5" w:rsidRDefault="0004221E" w:rsidP="00B30A24">
      <w:pPr>
        <w:keepNext/>
        <w:jc w:val="center"/>
      </w:pPr>
      <w:r>
        <w:rPr>
          <w:noProof/>
        </w:rPr>
        <w:drawing>
          <wp:inline distT="0" distB="0" distL="0" distR="0" wp14:anchorId="390A46F8" wp14:editId="03BB0856">
            <wp:extent cx="5943600" cy="3575534"/>
            <wp:effectExtent l="0" t="0" r="0" b="635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75534"/>
                    </a:xfrm>
                    <a:prstGeom prst="rect">
                      <a:avLst/>
                    </a:prstGeom>
                    <a:noFill/>
                    <a:ln>
                      <a:noFill/>
                    </a:ln>
                  </pic:spPr>
                </pic:pic>
              </a:graphicData>
            </a:graphic>
          </wp:inline>
        </w:drawing>
      </w:r>
      <w:r w:rsidR="00D64BB6" w:rsidRPr="00D64BB6">
        <w:t xml:space="preserve"> </w:t>
      </w:r>
    </w:p>
    <w:p w14:paraId="58916587" w14:textId="7FEBB6E0" w:rsidR="000016AF" w:rsidRPr="00A15D31" w:rsidRDefault="004330A5" w:rsidP="004330A5">
      <w:pPr>
        <w:pStyle w:val="Caption"/>
        <w:jc w:val="center"/>
        <w:rPr>
          <w:b w:val="0"/>
          <w:color w:val="auto"/>
        </w:rPr>
      </w:pPr>
      <w:bookmarkStart w:id="8" w:name="_Ref323459335"/>
      <w:r w:rsidRPr="00A15D31">
        <w:rPr>
          <w:color w:val="auto"/>
        </w:rPr>
        <w:t xml:space="preserve">Figure </w:t>
      </w:r>
      <w:r w:rsidR="00D05313" w:rsidRPr="00A15D31">
        <w:rPr>
          <w:color w:val="auto"/>
        </w:rPr>
        <w:fldChar w:fldCharType="begin"/>
      </w:r>
      <w:r w:rsidR="00D05313" w:rsidRPr="00A15D31">
        <w:rPr>
          <w:color w:val="auto"/>
        </w:rPr>
        <w:instrText xml:space="preserve"> SEQ Figure \* ARABIC </w:instrText>
      </w:r>
      <w:r w:rsidR="00D05313" w:rsidRPr="00A15D31">
        <w:rPr>
          <w:color w:val="auto"/>
        </w:rPr>
        <w:fldChar w:fldCharType="separate"/>
      </w:r>
      <w:r w:rsidR="00244063">
        <w:rPr>
          <w:noProof/>
          <w:color w:val="auto"/>
        </w:rPr>
        <w:t>7</w:t>
      </w:r>
      <w:r w:rsidR="00D05313" w:rsidRPr="00A15D31">
        <w:rPr>
          <w:noProof/>
          <w:color w:val="auto"/>
        </w:rPr>
        <w:fldChar w:fldCharType="end"/>
      </w:r>
      <w:bookmarkEnd w:id="8"/>
      <w:r w:rsidRPr="00A15D31">
        <w:rPr>
          <w:color w:val="auto"/>
        </w:rPr>
        <w:t xml:space="preserve">: </w:t>
      </w:r>
      <w:r w:rsidRPr="00A15D31">
        <w:rPr>
          <w:b w:val="0"/>
          <w:color w:val="auto"/>
        </w:rPr>
        <w:t>Thermal demand totals (</w:t>
      </w:r>
      <w:r w:rsidR="008C14E2">
        <w:rPr>
          <w:b w:val="0"/>
          <w:color w:val="auto"/>
        </w:rPr>
        <w:t>t</w:t>
      </w:r>
      <w:r w:rsidR="008C14E2" w:rsidRPr="00A15D31">
        <w:rPr>
          <w:b w:val="0"/>
          <w:color w:val="auto"/>
        </w:rPr>
        <w:t xml:space="preserve">rillion </w:t>
      </w:r>
      <w:r w:rsidR="008F7D6F">
        <w:rPr>
          <w:b w:val="0"/>
          <w:color w:val="auto"/>
        </w:rPr>
        <w:t>Btu</w:t>
      </w:r>
      <w:r w:rsidRPr="00A15D31">
        <w:rPr>
          <w:b w:val="0"/>
          <w:color w:val="auto"/>
        </w:rPr>
        <w:t>) by industry</w:t>
      </w:r>
      <w:r w:rsidR="0004221E">
        <w:rPr>
          <w:b w:val="0"/>
          <w:color w:val="auto"/>
        </w:rPr>
        <w:t>; c</w:t>
      </w:r>
      <w:r w:rsidRPr="00A15D31">
        <w:rPr>
          <w:b w:val="0"/>
          <w:color w:val="auto"/>
        </w:rPr>
        <w:t>olor coded by process steam temperature.</w:t>
      </w:r>
    </w:p>
    <w:p w14:paraId="54D0F122" w14:textId="25DAFD4E" w:rsidR="006C04AA" w:rsidRPr="00F31EE4" w:rsidRDefault="00244186" w:rsidP="0005411D">
      <w:pPr>
        <w:rPr>
          <w:rFonts w:cs="Times New Roman"/>
        </w:rPr>
      </w:pPr>
      <w:r w:rsidRPr="00F31EE4">
        <w:rPr>
          <w:rFonts w:cs="Times New Roman"/>
        </w:rPr>
        <w:lastRenderedPageBreak/>
        <w:t xml:space="preserve">Finally, </w:t>
      </w:r>
      <w:r w:rsidR="003B6218">
        <w:rPr>
          <w:rFonts w:cs="Times New Roman"/>
        </w:rPr>
        <w:t>these</w:t>
      </w:r>
      <w:r w:rsidR="003B6218" w:rsidRPr="00F31EE4">
        <w:rPr>
          <w:rFonts w:cs="Times New Roman"/>
        </w:rPr>
        <w:t xml:space="preserve"> </w:t>
      </w:r>
      <w:r w:rsidRPr="00F31EE4">
        <w:rPr>
          <w:rFonts w:cs="Times New Roman"/>
        </w:rPr>
        <w:t xml:space="preserve">thermal demand data </w:t>
      </w:r>
      <w:r w:rsidR="003B6218">
        <w:rPr>
          <w:rFonts w:cs="Times New Roman"/>
        </w:rPr>
        <w:t>were</w:t>
      </w:r>
      <w:r w:rsidR="003B6218" w:rsidRPr="00F31EE4">
        <w:rPr>
          <w:rFonts w:cs="Times New Roman"/>
        </w:rPr>
        <w:t xml:space="preserve"> </w:t>
      </w:r>
      <w:r w:rsidRPr="00F31EE4">
        <w:rPr>
          <w:rFonts w:cs="Times New Roman"/>
        </w:rPr>
        <w:t xml:space="preserve">disaggregated to the county level using </w:t>
      </w:r>
      <w:r w:rsidR="00FE3245" w:rsidRPr="00F31EE4">
        <w:rPr>
          <w:rFonts w:cs="Times New Roman"/>
        </w:rPr>
        <w:t xml:space="preserve">a combination of </w:t>
      </w:r>
      <w:r w:rsidR="00EA0C5C" w:rsidRPr="00F31EE4">
        <w:rPr>
          <w:rFonts w:cs="Times New Roman"/>
        </w:rPr>
        <w:t>additional</w:t>
      </w:r>
      <w:r w:rsidR="00FE3245" w:rsidRPr="00F31EE4">
        <w:rPr>
          <w:rFonts w:cs="Times New Roman"/>
        </w:rPr>
        <w:t xml:space="preserve"> data from MECS and the U.S. Census Bureau’s CBP.</w:t>
      </w:r>
      <w:r w:rsidR="007A3BDE" w:rsidRPr="00F31EE4">
        <w:rPr>
          <w:rFonts w:cs="Times New Roman"/>
        </w:rPr>
        <w:t xml:space="preserve"> In addition to energy data, MECS also reports the number of establishments that responded to the survey, categorized by the same NAICS codes as reported in the energy end-use data.</w:t>
      </w:r>
      <w:r w:rsidR="00B23C02" w:rsidRPr="00F31EE4">
        <w:rPr>
          <w:rFonts w:cs="Times New Roman"/>
        </w:rPr>
        <w:t xml:space="preserve"> This allowed us to calculate an energy “intensity”</w:t>
      </w:r>
      <w:r w:rsidR="008B6334" w:rsidRPr="00F31EE4">
        <w:rPr>
          <w:rFonts w:cs="Times New Roman"/>
        </w:rPr>
        <w:t xml:space="preserve"> value</w:t>
      </w:r>
      <w:r w:rsidR="00B23C02" w:rsidRPr="00F31EE4">
        <w:rPr>
          <w:rFonts w:cs="Times New Roman"/>
        </w:rPr>
        <w:t xml:space="preserve"> for each 6-digit NAICS cod</w:t>
      </w:r>
      <w:r w:rsidR="007776A8" w:rsidRPr="00F31EE4">
        <w:rPr>
          <w:rFonts w:cs="Times New Roman"/>
        </w:rPr>
        <w:t>e</w:t>
      </w:r>
      <w:r w:rsidR="00B23C02" w:rsidRPr="00F31EE4">
        <w:rPr>
          <w:rFonts w:cs="Times New Roman"/>
        </w:rPr>
        <w:t xml:space="preserve"> by dividing the total thermal demand by the number of establi</w:t>
      </w:r>
      <w:r w:rsidR="00E30344" w:rsidRPr="00F31EE4">
        <w:rPr>
          <w:rFonts w:cs="Times New Roman"/>
        </w:rPr>
        <w:t xml:space="preserve">shments for that specific code, resulting in a unit of </w:t>
      </w:r>
      <w:r w:rsidR="00080365" w:rsidRPr="00F31EE4">
        <w:rPr>
          <w:rFonts w:cs="Times New Roman"/>
        </w:rPr>
        <w:t>t</w:t>
      </w:r>
      <w:r w:rsidR="00B23C02" w:rsidRPr="00F31EE4">
        <w:rPr>
          <w:rFonts w:cs="Times New Roman"/>
        </w:rPr>
        <w:t>rill</w:t>
      </w:r>
      <w:r w:rsidR="00E30344" w:rsidRPr="00F31EE4">
        <w:rPr>
          <w:rFonts w:cs="Times New Roman"/>
        </w:rPr>
        <w:t xml:space="preserve">ion </w:t>
      </w:r>
      <w:r w:rsidR="008F7D6F">
        <w:rPr>
          <w:rFonts w:cs="Times New Roman"/>
        </w:rPr>
        <w:t>Btu</w:t>
      </w:r>
      <w:r w:rsidR="00E30344" w:rsidRPr="00F31EE4">
        <w:rPr>
          <w:rFonts w:cs="Times New Roman"/>
        </w:rPr>
        <w:t xml:space="preserve"> per establishment</w:t>
      </w:r>
      <w:r w:rsidR="00B23C02" w:rsidRPr="00F31EE4">
        <w:rPr>
          <w:rFonts w:cs="Times New Roman"/>
        </w:rPr>
        <w:t>.</w:t>
      </w:r>
      <w:r w:rsidR="005C72CA" w:rsidRPr="00F31EE4">
        <w:rPr>
          <w:rFonts w:cs="Times New Roman"/>
        </w:rPr>
        <w:t xml:space="preserve"> </w:t>
      </w:r>
      <w:r w:rsidR="00921BB6" w:rsidRPr="00F31EE4">
        <w:rPr>
          <w:rFonts w:cs="Times New Roman"/>
        </w:rPr>
        <w:fldChar w:fldCharType="begin"/>
      </w:r>
      <w:r w:rsidR="00921BB6" w:rsidRPr="00F31EE4">
        <w:rPr>
          <w:rFonts w:cs="Times New Roman"/>
        </w:rPr>
        <w:instrText xml:space="preserve"> REF _Ref322785132 \h </w:instrText>
      </w:r>
      <w:r w:rsidR="00921BB6" w:rsidRPr="00F31EE4">
        <w:rPr>
          <w:rFonts w:cs="Times New Roman"/>
        </w:rPr>
      </w:r>
      <w:r w:rsidR="00921BB6" w:rsidRPr="00F31EE4">
        <w:rPr>
          <w:rFonts w:cs="Times New Roman"/>
        </w:rPr>
        <w:fldChar w:fldCharType="separate"/>
      </w:r>
      <w:r w:rsidR="00244063" w:rsidRPr="00A15D31">
        <w:rPr>
          <w:rFonts w:cs="Times New Roman"/>
        </w:rPr>
        <w:t xml:space="preserve">Table </w:t>
      </w:r>
      <w:r w:rsidR="00244063">
        <w:rPr>
          <w:rFonts w:cs="Times New Roman"/>
          <w:noProof/>
        </w:rPr>
        <w:t>5</w:t>
      </w:r>
      <w:r w:rsidR="00921BB6" w:rsidRPr="00F31EE4">
        <w:rPr>
          <w:rFonts w:cs="Times New Roman"/>
        </w:rPr>
        <w:fldChar w:fldCharType="end"/>
      </w:r>
      <w:r w:rsidR="005C72CA" w:rsidRPr="00F31EE4">
        <w:rPr>
          <w:rFonts w:cs="Times New Roman"/>
        </w:rPr>
        <w:t xml:space="preserve"> lists the 14 industries in the analysis and their calculated demand intensity values.</w:t>
      </w:r>
    </w:p>
    <w:p w14:paraId="4EFE3008" w14:textId="77777777" w:rsidR="00F91E52" w:rsidRDefault="00F91E52" w:rsidP="0005411D"/>
    <w:p w14:paraId="3FCCF48A" w14:textId="3DA114A3" w:rsidR="00921BB6" w:rsidRPr="00A15D31" w:rsidRDefault="00921BB6" w:rsidP="00921BB6">
      <w:pPr>
        <w:pStyle w:val="Caption"/>
        <w:keepNext/>
        <w:jc w:val="center"/>
        <w:rPr>
          <w:rFonts w:cs="Times New Roman"/>
          <w:b w:val="0"/>
          <w:color w:val="auto"/>
        </w:rPr>
      </w:pPr>
      <w:bookmarkStart w:id="9" w:name="_Ref322785132"/>
      <w:r w:rsidRPr="00A15D31">
        <w:rPr>
          <w:rFonts w:cs="Times New Roman"/>
          <w:color w:val="auto"/>
        </w:rPr>
        <w:t xml:space="preserve">Table </w:t>
      </w:r>
      <w:r w:rsidRPr="00A15D31">
        <w:rPr>
          <w:rFonts w:cs="Times New Roman"/>
          <w:color w:val="auto"/>
        </w:rPr>
        <w:fldChar w:fldCharType="begin"/>
      </w:r>
      <w:r w:rsidRPr="00A15D31">
        <w:rPr>
          <w:rFonts w:cs="Times New Roman"/>
          <w:color w:val="auto"/>
        </w:rPr>
        <w:instrText xml:space="preserve"> SEQ Table \* ARABIC </w:instrText>
      </w:r>
      <w:r w:rsidRPr="00A15D31">
        <w:rPr>
          <w:rFonts w:cs="Times New Roman"/>
          <w:color w:val="auto"/>
        </w:rPr>
        <w:fldChar w:fldCharType="separate"/>
      </w:r>
      <w:r w:rsidR="00244063">
        <w:rPr>
          <w:rFonts w:cs="Times New Roman"/>
          <w:noProof/>
          <w:color w:val="auto"/>
        </w:rPr>
        <w:t>5</w:t>
      </w:r>
      <w:r w:rsidRPr="00A15D31">
        <w:rPr>
          <w:rFonts w:cs="Times New Roman"/>
          <w:color w:val="auto"/>
        </w:rPr>
        <w:fldChar w:fldCharType="end"/>
      </w:r>
      <w:bookmarkEnd w:id="9"/>
      <w:r w:rsidRPr="00A15D31">
        <w:rPr>
          <w:rFonts w:cs="Times New Roman"/>
          <w:color w:val="auto"/>
        </w:rPr>
        <w:t xml:space="preserve">: </w:t>
      </w:r>
      <w:r w:rsidRPr="00A15D31">
        <w:rPr>
          <w:rFonts w:cs="Times New Roman"/>
          <w:b w:val="0"/>
          <w:color w:val="auto"/>
        </w:rPr>
        <w:t>Listing of 6-digit NAICS codes and the calculated demand intensity values (</w:t>
      </w:r>
      <w:r w:rsidR="008C14E2">
        <w:rPr>
          <w:rFonts w:cs="Times New Roman"/>
          <w:b w:val="0"/>
          <w:color w:val="auto"/>
        </w:rPr>
        <w:t>t</w:t>
      </w:r>
      <w:r w:rsidRPr="00A15D31">
        <w:rPr>
          <w:rFonts w:cs="Times New Roman"/>
          <w:b w:val="0"/>
          <w:color w:val="auto"/>
        </w:rPr>
        <w:t xml:space="preserve">rillion </w:t>
      </w:r>
      <w:r w:rsidR="008F7D6F">
        <w:rPr>
          <w:rFonts w:cs="Times New Roman"/>
          <w:b w:val="0"/>
          <w:color w:val="auto"/>
        </w:rPr>
        <w:t>Btu</w:t>
      </w:r>
      <w:r w:rsidRPr="00A15D31">
        <w:rPr>
          <w:rFonts w:cs="Times New Roman"/>
          <w:b w:val="0"/>
          <w:color w:val="auto"/>
        </w:rPr>
        <w:t>/establishment)</w:t>
      </w: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1028"/>
        <w:gridCol w:w="3748"/>
        <w:gridCol w:w="1482"/>
        <w:gridCol w:w="1271"/>
        <w:gridCol w:w="1584"/>
      </w:tblGrid>
      <w:tr w:rsidR="0004221E" w:rsidRPr="0004221E" w14:paraId="6EFA04C1" w14:textId="77777777" w:rsidTr="00A15D31">
        <w:trPr>
          <w:trHeight w:val="675"/>
          <w:jc w:val="center"/>
        </w:trPr>
        <w:tc>
          <w:tcPr>
            <w:tcW w:w="1029" w:type="dxa"/>
            <w:shd w:val="clear" w:color="auto" w:fill="4F81BD" w:themeFill="accent1"/>
            <w:tcMar>
              <w:top w:w="20" w:type="dxa"/>
              <w:left w:w="20" w:type="dxa"/>
              <w:bottom w:w="0" w:type="dxa"/>
              <w:right w:w="20" w:type="dxa"/>
            </w:tcMar>
            <w:vAlign w:val="center"/>
            <w:hideMark/>
          </w:tcPr>
          <w:p w14:paraId="1F3EE054" w14:textId="77777777" w:rsidR="00AD14B0" w:rsidRPr="00B212E8" w:rsidRDefault="00F91E52" w:rsidP="00F91E52">
            <w:pPr>
              <w:jc w:val="center"/>
              <w:rPr>
                <w:rFonts w:ascii="Arial" w:hAnsi="Arial" w:cs="Arial"/>
                <w:color w:val="FFFFFF" w:themeColor="background1"/>
                <w:sz w:val="18"/>
                <w:szCs w:val="18"/>
              </w:rPr>
            </w:pPr>
            <w:r w:rsidRPr="00B212E8">
              <w:rPr>
                <w:rFonts w:ascii="Arial" w:hAnsi="Arial" w:cs="Arial"/>
                <w:b/>
                <w:bCs/>
                <w:color w:val="FFFFFF" w:themeColor="background1"/>
                <w:sz w:val="18"/>
                <w:szCs w:val="18"/>
              </w:rPr>
              <w:t>NAICS Code</w:t>
            </w:r>
          </w:p>
        </w:tc>
        <w:tc>
          <w:tcPr>
            <w:tcW w:w="3754" w:type="dxa"/>
            <w:shd w:val="clear" w:color="auto" w:fill="4F81BD" w:themeFill="accent1"/>
            <w:tcMar>
              <w:top w:w="20" w:type="dxa"/>
              <w:left w:w="20" w:type="dxa"/>
              <w:bottom w:w="0" w:type="dxa"/>
              <w:right w:w="20" w:type="dxa"/>
            </w:tcMar>
            <w:vAlign w:val="center"/>
            <w:hideMark/>
          </w:tcPr>
          <w:p w14:paraId="4A30B8C0" w14:textId="77777777" w:rsidR="00AD14B0" w:rsidRPr="00B212E8" w:rsidRDefault="00F91E52" w:rsidP="00F91E52">
            <w:pPr>
              <w:jc w:val="center"/>
              <w:rPr>
                <w:rFonts w:ascii="Arial" w:hAnsi="Arial" w:cs="Arial"/>
                <w:color w:val="FFFFFF" w:themeColor="background1"/>
                <w:sz w:val="18"/>
                <w:szCs w:val="18"/>
              </w:rPr>
            </w:pPr>
            <w:r w:rsidRPr="00B212E8">
              <w:rPr>
                <w:rFonts w:ascii="Arial" w:hAnsi="Arial" w:cs="Arial"/>
                <w:b/>
                <w:bCs/>
                <w:color w:val="FFFFFF" w:themeColor="background1"/>
                <w:sz w:val="18"/>
                <w:szCs w:val="18"/>
              </w:rPr>
              <w:t>Description</w:t>
            </w:r>
          </w:p>
        </w:tc>
        <w:tc>
          <w:tcPr>
            <w:tcW w:w="1484" w:type="dxa"/>
            <w:shd w:val="clear" w:color="auto" w:fill="4F81BD" w:themeFill="accent1"/>
            <w:tcMar>
              <w:top w:w="20" w:type="dxa"/>
              <w:left w:w="20" w:type="dxa"/>
              <w:bottom w:w="0" w:type="dxa"/>
              <w:right w:w="20" w:type="dxa"/>
            </w:tcMar>
            <w:vAlign w:val="center"/>
            <w:hideMark/>
          </w:tcPr>
          <w:p w14:paraId="4A2C8D78" w14:textId="7C57F444" w:rsidR="00AD14B0" w:rsidRPr="00B212E8" w:rsidRDefault="00F91E52" w:rsidP="008C14E2">
            <w:pPr>
              <w:jc w:val="center"/>
              <w:rPr>
                <w:rFonts w:ascii="Arial" w:hAnsi="Arial" w:cs="Arial"/>
                <w:color w:val="FFFFFF" w:themeColor="background1"/>
                <w:sz w:val="18"/>
                <w:szCs w:val="18"/>
              </w:rPr>
            </w:pPr>
            <w:r w:rsidRPr="00B212E8">
              <w:rPr>
                <w:rFonts w:ascii="Arial" w:hAnsi="Arial" w:cs="Arial"/>
                <w:b/>
                <w:bCs/>
                <w:color w:val="FFFFFF" w:themeColor="background1"/>
                <w:sz w:val="18"/>
                <w:szCs w:val="18"/>
              </w:rPr>
              <w:t xml:space="preserve">Thermal </w:t>
            </w:r>
            <w:r w:rsidR="008C14E2" w:rsidRPr="00B212E8">
              <w:rPr>
                <w:rFonts w:ascii="Arial" w:hAnsi="Arial" w:cs="Arial"/>
                <w:b/>
                <w:bCs/>
                <w:color w:val="FFFFFF" w:themeColor="background1"/>
                <w:sz w:val="18"/>
                <w:szCs w:val="18"/>
              </w:rPr>
              <w:t>Demand</w:t>
            </w:r>
            <w:r w:rsidR="008C14E2">
              <w:rPr>
                <w:rFonts w:ascii="Arial" w:hAnsi="Arial" w:cs="Arial"/>
                <w:b/>
                <w:bCs/>
                <w:color w:val="FFFFFF" w:themeColor="background1"/>
                <w:sz w:val="18"/>
                <w:szCs w:val="18"/>
              </w:rPr>
              <w:br/>
            </w:r>
            <w:r w:rsidRPr="00B212E8">
              <w:rPr>
                <w:rFonts w:ascii="Arial" w:hAnsi="Arial" w:cs="Arial"/>
                <w:b/>
                <w:bCs/>
                <w:color w:val="FFFFFF" w:themeColor="background1"/>
                <w:sz w:val="18"/>
                <w:szCs w:val="18"/>
              </w:rPr>
              <w:t>(</w:t>
            </w:r>
            <w:r w:rsidR="008C14E2">
              <w:rPr>
                <w:rFonts w:ascii="Arial" w:hAnsi="Arial" w:cs="Arial"/>
                <w:b/>
                <w:bCs/>
                <w:color w:val="FFFFFF" w:themeColor="background1"/>
                <w:sz w:val="18"/>
                <w:szCs w:val="18"/>
              </w:rPr>
              <w:t>t</w:t>
            </w:r>
            <w:r w:rsidR="008C14E2" w:rsidRPr="00B212E8">
              <w:rPr>
                <w:rFonts w:ascii="Arial" w:hAnsi="Arial" w:cs="Arial"/>
                <w:b/>
                <w:bCs/>
                <w:color w:val="FFFFFF" w:themeColor="background1"/>
                <w:sz w:val="18"/>
                <w:szCs w:val="18"/>
              </w:rPr>
              <w:t xml:space="preserve">rillion </w:t>
            </w:r>
            <w:r w:rsidR="008F7D6F">
              <w:rPr>
                <w:rFonts w:ascii="Arial" w:hAnsi="Arial" w:cs="Arial"/>
                <w:b/>
                <w:bCs/>
                <w:color w:val="FFFFFF" w:themeColor="background1"/>
                <w:sz w:val="18"/>
                <w:szCs w:val="18"/>
              </w:rPr>
              <w:t>Btu</w:t>
            </w:r>
            <w:r w:rsidRPr="00B212E8">
              <w:rPr>
                <w:rFonts w:ascii="Arial" w:hAnsi="Arial" w:cs="Arial"/>
                <w:b/>
                <w:bCs/>
                <w:color w:val="FFFFFF" w:themeColor="background1"/>
                <w:sz w:val="18"/>
                <w:szCs w:val="18"/>
              </w:rPr>
              <w:t>)</w:t>
            </w:r>
          </w:p>
        </w:tc>
        <w:tc>
          <w:tcPr>
            <w:tcW w:w="1260" w:type="dxa"/>
            <w:shd w:val="clear" w:color="auto" w:fill="4F81BD" w:themeFill="accent1"/>
            <w:tcMar>
              <w:top w:w="20" w:type="dxa"/>
              <w:left w:w="20" w:type="dxa"/>
              <w:bottom w:w="0" w:type="dxa"/>
              <w:right w:w="20" w:type="dxa"/>
            </w:tcMar>
            <w:vAlign w:val="center"/>
            <w:hideMark/>
          </w:tcPr>
          <w:p w14:paraId="2A3C07C4" w14:textId="77777777" w:rsidR="00AD14B0" w:rsidRPr="00B212E8" w:rsidRDefault="00F91E52" w:rsidP="00F91E52">
            <w:pPr>
              <w:jc w:val="center"/>
              <w:rPr>
                <w:rFonts w:ascii="Arial" w:hAnsi="Arial" w:cs="Arial"/>
                <w:color w:val="FFFFFF" w:themeColor="background1"/>
                <w:sz w:val="18"/>
                <w:szCs w:val="18"/>
              </w:rPr>
            </w:pPr>
            <w:r w:rsidRPr="00B212E8">
              <w:rPr>
                <w:rFonts w:ascii="Arial" w:hAnsi="Arial" w:cs="Arial"/>
                <w:b/>
                <w:bCs/>
                <w:color w:val="FFFFFF" w:themeColor="background1"/>
                <w:sz w:val="18"/>
                <w:szCs w:val="18"/>
              </w:rPr>
              <w:t>Establishment Count</w:t>
            </w:r>
          </w:p>
        </w:tc>
        <w:tc>
          <w:tcPr>
            <w:tcW w:w="1586" w:type="dxa"/>
            <w:shd w:val="clear" w:color="auto" w:fill="4F81BD" w:themeFill="accent1"/>
            <w:tcMar>
              <w:top w:w="20" w:type="dxa"/>
              <w:left w:w="20" w:type="dxa"/>
              <w:bottom w:w="0" w:type="dxa"/>
              <w:right w:w="20" w:type="dxa"/>
            </w:tcMar>
            <w:vAlign w:val="center"/>
            <w:hideMark/>
          </w:tcPr>
          <w:p w14:paraId="5C02B581" w14:textId="18BCC9F0" w:rsidR="00AD14B0" w:rsidRPr="00B212E8" w:rsidRDefault="00F91E52" w:rsidP="008C14E2">
            <w:pPr>
              <w:jc w:val="center"/>
              <w:rPr>
                <w:rFonts w:ascii="Arial" w:hAnsi="Arial" w:cs="Arial"/>
                <w:color w:val="FFFFFF" w:themeColor="background1"/>
                <w:sz w:val="18"/>
                <w:szCs w:val="18"/>
              </w:rPr>
            </w:pPr>
            <w:r w:rsidRPr="00B212E8">
              <w:rPr>
                <w:rFonts w:ascii="Arial" w:hAnsi="Arial" w:cs="Arial"/>
                <w:b/>
                <w:bCs/>
                <w:color w:val="FFFFFF" w:themeColor="background1"/>
                <w:sz w:val="18"/>
                <w:szCs w:val="18"/>
              </w:rPr>
              <w:t>Demand Intensity (</w:t>
            </w:r>
            <w:r w:rsidR="008C14E2">
              <w:rPr>
                <w:rFonts w:ascii="Arial" w:hAnsi="Arial" w:cs="Arial"/>
                <w:b/>
                <w:bCs/>
                <w:color w:val="FFFFFF" w:themeColor="background1"/>
                <w:sz w:val="18"/>
                <w:szCs w:val="18"/>
              </w:rPr>
              <w:t>t</w:t>
            </w:r>
            <w:r w:rsidR="008C14E2" w:rsidRPr="00B212E8">
              <w:rPr>
                <w:rFonts w:ascii="Arial" w:hAnsi="Arial" w:cs="Arial"/>
                <w:b/>
                <w:bCs/>
                <w:color w:val="FFFFFF" w:themeColor="background1"/>
                <w:sz w:val="18"/>
                <w:szCs w:val="18"/>
              </w:rPr>
              <w:t xml:space="preserve">rillion </w:t>
            </w:r>
            <w:r w:rsidR="008F7D6F">
              <w:rPr>
                <w:rFonts w:ascii="Arial" w:hAnsi="Arial" w:cs="Arial"/>
                <w:b/>
                <w:bCs/>
                <w:color w:val="FFFFFF" w:themeColor="background1"/>
                <w:sz w:val="18"/>
                <w:szCs w:val="18"/>
              </w:rPr>
              <w:t>Btu</w:t>
            </w:r>
            <w:r w:rsidRPr="00B212E8">
              <w:rPr>
                <w:rFonts w:ascii="Arial" w:hAnsi="Arial" w:cs="Arial"/>
                <w:b/>
                <w:bCs/>
                <w:color w:val="FFFFFF" w:themeColor="background1"/>
                <w:sz w:val="18"/>
                <w:szCs w:val="18"/>
              </w:rPr>
              <w:t>/est.)</w:t>
            </w:r>
          </w:p>
        </w:tc>
      </w:tr>
      <w:tr w:rsidR="0004221E" w:rsidRPr="0004221E" w14:paraId="2DE97399"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089559BA"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325193</w:t>
            </w:r>
          </w:p>
        </w:tc>
        <w:tc>
          <w:tcPr>
            <w:tcW w:w="3754" w:type="dxa"/>
            <w:shd w:val="clear" w:color="auto" w:fill="auto"/>
            <w:tcMar>
              <w:top w:w="20" w:type="dxa"/>
              <w:left w:w="20" w:type="dxa"/>
              <w:bottom w:w="0" w:type="dxa"/>
              <w:right w:w="20" w:type="dxa"/>
            </w:tcMar>
            <w:vAlign w:val="center"/>
            <w:hideMark/>
          </w:tcPr>
          <w:p w14:paraId="649FE08D" w14:textId="04E06431" w:rsidR="00AD14B0" w:rsidRPr="00B212E8" w:rsidRDefault="00F91E52" w:rsidP="00F91E52">
            <w:pPr>
              <w:jc w:val="center"/>
              <w:rPr>
                <w:rFonts w:ascii="Arial" w:hAnsi="Arial" w:cs="Arial"/>
                <w:sz w:val="18"/>
                <w:szCs w:val="18"/>
              </w:rPr>
            </w:pPr>
            <w:r w:rsidRPr="00B212E8">
              <w:rPr>
                <w:rFonts w:ascii="Arial" w:hAnsi="Arial" w:cs="Arial"/>
                <w:sz w:val="18"/>
                <w:szCs w:val="18"/>
              </w:rPr>
              <w:t>Ethyl Alcohol</w:t>
            </w:r>
          </w:p>
        </w:tc>
        <w:tc>
          <w:tcPr>
            <w:tcW w:w="1484" w:type="dxa"/>
            <w:shd w:val="clear" w:color="auto" w:fill="auto"/>
            <w:tcMar>
              <w:top w:w="20" w:type="dxa"/>
              <w:left w:w="20" w:type="dxa"/>
              <w:bottom w:w="0" w:type="dxa"/>
              <w:right w:w="20" w:type="dxa"/>
            </w:tcMar>
            <w:vAlign w:val="center"/>
            <w:hideMark/>
          </w:tcPr>
          <w:p w14:paraId="647672F6"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100</w:t>
            </w:r>
          </w:p>
        </w:tc>
        <w:tc>
          <w:tcPr>
            <w:tcW w:w="1260" w:type="dxa"/>
            <w:shd w:val="clear" w:color="auto" w:fill="auto"/>
            <w:tcMar>
              <w:top w:w="20" w:type="dxa"/>
              <w:left w:w="20" w:type="dxa"/>
              <w:bottom w:w="0" w:type="dxa"/>
              <w:right w:w="20" w:type="dxa"/>
            </w:tcMar>
            <w:vAlign w:val="center"/>
            <w:hideMark/>
          </w:tcPr>
          <w:p w14:paraId="2F253D3B"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185</w:t>
            </w:r>
          </w:p>
        </w:tc>
        <w:tc>
          <w:tcPr>
            <w:tcW w:w="1586" w:type="dxa"/>
            <w:shd w:val="clear" w:color="auto" w:fill="auto"/>
            <w:tcMar>
              <w:top w:w="20" w:type="dxa"/>
              <w:left w:w="20" w:type="dxa"/>
              <w:bottom w:w="0" w:type="dxa"/>
              <w:right w:w="20" w:type="dxa"/>
            </w:tcMar>
            <w:vAlign w:val="center"/>
            <w:hideMark/>
          </w:tcPr>
          <w:p w14:paraId="42AACF8F"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0.541</w:t>
            </w:r>
          </w:p>
        </w:tc>
      </w:tr>
      <w:tr w:rsidR="0004221E" w:rsidRPr="0004221E" w14:paraId="6820D13C"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70047578"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325199</w:t>
            </w:r>
          </w:p>
        </w:tc>
        <w:tc>
          <w:tcPr>
            <w:tcW w:w="3754" w:type="dxa"/>
            <w:shd w:val="clear" w:color="auto" w:fill="auto"/>
            <w:tcMar>
              <w:top w:w="20" w:type="dxa"/>
              <w:left w:w="20" w:type="dxa"/>
              <w:bottom w:w="0" w:type="dxa"/>
              <w:right w:w="20" w:type="dxa"/>
            </w:tcMar>
            <w:vAlign w:val="center"/>
            <w:hideMark/>
          </w:tcPr>
          <w:p w14:paraId="761B61F8"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Other Basic Organic Chemicals</w:t>
            </w:r>
          </w:p>
        </w:tc>
        <w:tc>
          <w:tcPr>
            <w:tcW w:w="1484" w:type="dxa"/>
            <w:shd w:val="clear" w:color="auto" w:fill="auto"/>
            <w:tcMar>
              <w:top w:w="20" w:type="dxa"/>
              <w:left w:w="20" w:type="dxa"/>
              <w:bottom w:w="0" w:type="dxa"/>
              <w:right w:w="20" w:type="dxa"/>
            </w:tcMar>
            <w:vAlign w:val="center"/>
            <w:hideMark/>
          </w:tcPr>
          <w:p w14:paraId="138A5E28"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89</w:t>
            </w:r>
          </w:p>
        </w:tc>
        <w:tc>
          <w:tcPr>
            <w:tcW w:w="1260" w:type="dxa"/>
            <w:shd w:val="clear" w:color="auto" w:fill="auto"/>
            <w:tcMar>
              <w:top w:w="20" w:type="dxa"/>
              <w:left w:w="20" w:type="dxa"/>
              <w:bottom w:w="0" w:type="dxa"/>
              <w:right w:w="20" w:type="dxa"/>
            </w:tcMar>
            <w:vAlign w:val="center"/>
            <w:hideMark/>
          </w:tcPr>
          <w:p w14:paraId="3E4AF022"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476</w:t>
            </w:r>
          </w:p>
        </w:tc>
        <w:tc>
          <w:tcPr>
            <w:tcW w:w="1586" w:type="dxa"/>
            <w:shd w:val="clear" w:color="auto" w:fill="auto"/>
            <w:tcMar>
              <w:top w:w="20" w:type="dxa"/>
              <w:left w:w="20" w:type="dxa"/>
              <w:bottom w:w="0" w:type="dxa"/>
              <w:right w:w="20" w:type="dxa"/>
            </w:tcMar>
            <w:vAlign w:val="center"/>
            <w:hideMark/>
          </w:tcPr>
          <w:p w14:paraId="5BEB2CC1"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0.187</w:t>
            </w:r>
          </w:p>
        </w:tc>
      </w:tr>
      <w:tr w:rsidR="0004221E" w:rsidRPr="0004221E" w14:paraId="3CE95895"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4E07E4EE"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322121</w:t>
            </w:r>
          </w:p>
        </w:tc>
        <w:tc>
          <w:tcPr>
            <w:tcW w:w="3754" w:type="dxa"/>
            <w:shd w:val="clear" w:color="auto" w:fill="auto"/>
            <w:tcMar>
              <w:top w:w="20" w:type="dxa"/>
              <w:left w:w="20" w:type="dxa"/>
              <w:bottom w:w="0" w:type="dxa"/>
              <w:right w:w="20" w:type="dxa"/>
            </w:tcMar>
            <w:vAlign w:val="center"/>
            <w:hideMark/>
          </w:tcPr>
          <w:p w14:paraId="1FE65B26"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Paper Mills, except Newsprint</w:t>
            </w:r>
          </w:p>
        </w:tc>
        <w:tc>
          <w:tcPr>
            <w:tcW w:w="1484" w:type="dxa"/>
            <w:shd w:val="clear" w:color="auto" w:fill="auto"/>
            <w:tcMar>
              <w:top w:w="20" w:type="dxa"/>
              <w:left w:w="20" w:type="dxa"/>
              <w:bottom w:w="0" w:type="dxa"/>
              <w:right w:w="20" w:type="dxa"/>
            </w:tcMar>
            <w:vAlign w:val="center"/>
            <w:hideMark/>
          </w:tcPr>
          <w:p w14:paraId="63438EBA"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67</w:t>
            </w:r>
          </w:p>
        </w:tc>
        <w:tc>
          <w:tcPr>
            <w:tcW w:w="1260" w:type="dxa"/>
            <w:shd w:val="clear" w:color="auto" w:fill="auto"/>
            <w:tcMar>
              <w:top w:w="20" w:type="dxa"/>
              <w:left w:w="20" w:type="dxa"/>
              <w:bottom w:w="0" w:type="dxa"/>
              <w:right w:w="20" w:type="dxa"/>
            </w:tcMar>
            <w:vAlign w:val="center"/>
            <w:hideMark/>
          </w:tcPr>
          <w:p w14:paraId="31C7722D"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203</w:t>
            </w:r>
          </w:p>
        </w:tc>
        <w:tc>
          <w:tcPr>
            <w:tcW w:w="1586" w:type="dxa"/>
            <w:shd w:val="clear" w:color="auto" w:fill="auto"/>
            <w:tcMar>
              <w:top w:w="20" w:type="dxa"/>
              <w:left w:w="20" w:type="dxa"/>
              <w:bottom w:w="0" w:type="dxa"/>
              <w:right w:w="20" w:type="dxa"/>
            </w:tcMar>
            <w:vAlign w:val="center"/>
            <w:hideMark/>
          </w:tcPr>
          <w:p w14:paraId="4B7404CF"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0.330</w:t>
            </w:r>
          </w:p>
        </w:tc>
      </w:tr>
      <w:tr w:rsidR="0004221E" w:rsidRPr="0004221E" w14:paraId="3ED2A395"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5EF82EBC"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322130</w:t>
            </w:r>
          </w:p>
        </w:tc>
        <w:tc>
          <w:tcPr>
            <w:tcW w:w="3754" w:type="dxa"/>
            <w:shd w:val="clear" w:color="auto" w:fill="auto"/>
            <w:tcMar>
              <w:top w:w="20" w:type="dxa"/>
              <w:left w:w="20" w:type="dxa"/>
              <w:bottom w:w="0" w:type="dxa"/>
              <w:right w:w="20" w:type="dxa"/>
            </w:tcMar>
            <w:vAlign w:val="center"/>
            <w:hideMark/>
          </w:tcPr>
          <w:p w14:paraId="7225BDA2"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Paperboard Mills</w:t>
            </w:r>
          </w:p>
        </w:tc>
        <w:tc>
          <w:tcPr>
            <w:tcW w:w="1484" w:type="dxa"/>
            <w:shd w:val="clear" w:color="auto" w:fill="auto"/>
            <w:tcMar>
              <w:top w:w="20" w:type="dxa"/>
              <w:left w:w="20" w:type="dxa"/>
              <w:bottom w:w="0" w:type="dxa"/>
              <w:right w:w="20" w:type="dxa"/>
            </w:tcMar>
            <w:vAlign w:val="center"/>
            <w:hideMark/>
          </w:tcPr>
          <w:p w14:paraId="2CE8D9CD"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38</w:t>
            </w:r>
          </w:p>
        </w:tc>
        <w:tc>
          <w:tcPr>
            <w:tcW w:w="1260" w:type="dxa"/>
            <w:shd w:val="clear" w:color="auto" w:fill="auto"/>
            <w:tcMar>
              <w:top w:w="20" w:type="dxa"/>
              <w:left w:w="20" w:type="dxa"/>
              <w:bottom w:w="0" w:type="dxa"/>
              <w:right w:w="20" w:type="dxa"/>
            </w:tcMar>
            <w:vAlign w:val="center"/>
            <w:hideMark/>
          </w:tcPr>
          <w:p w14:paraId="7BF86150"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177</w:t>
            </w:r>
          </w:p>
        </w:tc>
        <w:tc>
          <w:tcPr>
            <w:tcW w:w="1586" w:type="dxa"/>
            <w:shd w:val="clear" w:color="auto" w:fill="auto"/>
            <w:tcMar>
              <w:top w:w="20" w:type="dxa"/>
              <w:left w:w="20" w:type="dxa"/>
              <w:bottom w:w="0" w:type="dxa"/>
              <w:right w:w="20" w:type="dxa"/>
            </w:tcMar>
            <w:vAlign w:val="center"/>
            <w:hideMark/>
          </w:tcPr>
          <w:p w14:paraId="02BA4416"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0.215</w:t>
            </w:r>
          </w:p>
        </w:tc>
      </w:tr>
      <w:tr w:rsidR="0004221E" w:rsidRPr="0004221E" w14:paraId="63433FF7"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31DA6FB0"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311221</w:t>
            </w:r>
          </w:p>
        </w:tc>
        <w:tc>
          <w:tcPr>
            <w:tcW w:w="3754" w:type="dxa"/>
            <w:shd w:val="clear" w:color="auto" w:fill="auto"/>
            <w:tcMar>
              <w:top w:w="20" w:type="dxa"/>
              <w:left w:w="20" w:type="dxa"/>
              <w:bottom w:w="0" w:type="dxa"/>
              <w:right w:w="20" w:type="dxa"/>
            </w:tcMar>
            <w:vAlign w:val="center"/>
            <w:hideMark/>
          </w:tcPr>
          <w:p w14:paraId="23FB7447"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Wet Corn Milling</w:t>
            </w:r>
          </w:p>
        </w:tc>
        <w:tc>
          <w:tcPr>
            <w:tcW w:w="1484" w:type="dxa"/>
            <w:shd w:val="clear" w:color="auto" w:fill="auto"/>
            <w:tcMar>
              <w:top w:w="20" w:type="dxa"/>
              <w:left w:w="20" w:type="dxa"/>
              <w:bottom w:w="0" w:type="dxa"/>
              <w:right w:w="20" w:type="dxa"/>
            </w:tcMar>
            <w:vAlign w:val="center"/>
            <w:hideMark/>
          </w:tcPr>
          <w:p w14:paraId="00A88A42"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37</w:t>
            </w:r>
          </w:p>
        </w:tc>
        <w:tc>
          <w:tcPr>
            <w:tcW w:w="1260" w:type="dxa"/>
            <w:shd w:val="clear" w:color="auto" w:fill="auto"/>
            <w:tcMar>
              <w:top w:w="20" w:type="dxa"/>
              <w:left w:w="20" w:type="dxa"/>
              <w:bottom w:w="0" w:type="dxa"/>
              <w:right w:w="20" w:type="dxa"/>
            </w:tcMar>
            <w:vAlign w:val="center"/>
            <w:hideMark/>
          </w:tcPr>
          <w:p w14:paraId="5CCCBDDF"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59</w:t>
            </w:r>
          </w:p>
        </w:tc>
        <w:tc>
          <w:tcPr>
            <w:tcW w:w="1586" w:type="dxa"/>
            <w:shd w:val="clear" w:color="auto" w:fill="auto"/>
            <w:tcMar>
              <w:top w:w="20" w:type="dxa"/>
              <w:left w:w="20" w:type="dxa"/>
              <w:bottom w:w="0" w:type="dxa"/>
              <w:right w:w="20" w:type="dxa"/>
            </w:tcMar>
            <w:vAlign w:val="center"/>
            <w:hideMark/>
          </w:tcPr>
          <w:p w14:paraId="359D012F"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0.627</w:t>
            </w:r>
          </w:p>
        </w:tc>
      </w:tr>
      <w:tr w:rsidR="0004221E" w:rsidRPr="0004221E" w14:paraId="15F5E7DE"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25F9C30B"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325312</w:t>
            </w:r>
          </w:p>
        </w:tc>
        <w:tc>
          <w:tcPr>
            <w:tcW w:w="3754" w:type="dxa"/>
            <w:shd w:val="clear" w:color="auto" w:fill="auto"/>
            <w:tcMar>
              <w:top w:w="20" w:type="dxa"/>
              <w:left w:w="20" w:type="dxa"/>
              <w:bottom w:w="0" w:type="dxa"/>
              <w:right w:w="20" w:type="dxa"/>
            </w:tcMar>
            <w:vAlign w:val="center"/>
            <w:hideMark/>
          </w:tcPr>
          <w:p w14:paraId="79BC4E71"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Phosphatic Fertilizers</w:t>
            </w:r>
          </w:p>
        </w:tc>
        <w:tc>
          <w:tcPr>
            <w:tcW w:w="1484" w:type="dxa"/>
            <w:shd w:val="clear" w:color="auto" w:fill="auto"/>
            <w:tcMar>
              <w:top w:w="20" w:type="dxa"/>
              <w:left w:w="20" w:type="dxa"/>
              <w:bottom w:w="0" w:type="dxa"/>
              <w:right w:w="20" w:type="dxa"/>
            </w:tcMar>
            <w:vAlign w:val="center"/>
            <w:hideMark/>
          </w:tcPr>
          <w:p w14:paraId="481A2FE6"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26</w:t>
            </w:r>
          </w:p>
        </w:tc>
        <w:tc>
          <w:tcPr>
            <w:tcW w:w="1260" w:type="dxa"/>
            <w:shd w:val="clear" w:color="auto" w:fill="auto"/>
            <w:tcMar>
              <w:top w:w="20" w:type="dxa"/>
              <w:left w:w="20" w:type="dxa"/>
              <w:bottom w:w="0" w:type="dxa"/>
              <w:right w:w="20" w:type="dxa"/>
            </w:tcMar>
            <w:vAlign w:val="center"/>
            <w:hideMark/>
          </w:tcPr>
          <w:p w14:paraId="2FAC654B"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65</w:t>
            </w:r>
          </w:p>
        </w:tc>
        <w:tc>
          <w:tcPr>
            <w:tcW w:w="1586" w:type="dxa"/>
            <w:shd w:val="clear" w:color="auto" w:fill="auto"/>
            <w:tcMar>
              <w:top w:w="20" w:type="dxa"/>
              <w:left w:w="20" w:type="dxa"/>
              <w:bottom w:w="0" w:type="dxa"/>
              <w:right w:w="20" w:type="dxa"/>
            </w:tcMar>
            <w:vAlign w:val="center"/>
            <w:hideMark/>
          </w:tcPr>
          <w:p w14:paraId="03B6C6D1"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0.400</w:t>
            </w:r>
          </w:p>
        </w:tc>
      </w:tr>
      <w:tr w:rsidR="0004221E" w:rsidRPr="0004221E" w14:paraId="012FB94E"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15CCDC02"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322110</w:t>
            </w:r>
          </w:p>
        </w:tc>
        <w:tc>
          <w:tcPr>
            <w:tcW w:w="3754" w:type="dxa"/>
            <w:shd w:val="clear" w:color="auto" w:fill="auto"/>
            <w:tcMar>
              <w:top w:w="20" w:type="dxa"/>
              <w:left w:w="20" w:type="dxa"/>
              <w:bottom w:w="0" w:type="dxa"/>
              <w:right w:w="20" w:type="dxa"/>
            </w:tcMar>
            <w:vAlign w:val="center"/>
            <w:hideMark/>
          </w:tcPr>
          <w:p w14:paraId="6F210095"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Pulp Mills</w:t>
            </w:r>
          </w:p>
        </w:tc>
        <w:tc>
          <w:tcPr>
            <w:tcW w:w="1484" w:type="dxa"/>
            <w:shd w:val="clear" w:color="auto" w:fill="auto"/>
            <w:tcMar>
              <w:top w:w="20" w:type="dxa"/>
              <w:left w:w="20" w:type="dxa"/>
              <w:bottom w:w="0" w:type="dxa"/>
              <w:right w:w="20" w:type="dxa"/>
            </w:tcMar>
            <w:vAlign w:val="center"/>
            <w:hideMark/>
          </w:tcPr>
          <w:p w14:paraId="60203562"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12</w:t>
            </w:r>
          </w:p>
        </w:tc>
        <w:tc>
          <w:tcPr>
            <w:tcW w:w="1260" w:type="dxa"/>
            <w:shd w:val="clear" w:color="auto" w:fill="auto"/>
            <w:tcMar>
              <w:top w:w="20" w:type="dxa"/>
              <w:left w:w="20" w:type="dxa"/>
              <w:bottom w:w="0" w:type="dxa"/>
              <w:right w:w="20" w:type="dxa"/>
            </w:tcMar>
            <w:vAlign w:val="center"/>
            <w:hideMark/>
          </w:tcPr>
          <w:p w14:paraId="4EACE81D"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41</w:t>
            </w:r>
          </w:p>
        </w:tc>
        <w:tc>
          <w:tcPr>
            <w:tcW w:w="1586" w:type="dxa"/>
            <w:shd w:val="clear" w:color="auto" w:fill="auto"/>
            <w:tcMar>
              <w:top w:w="20" w:type="dxa"/>
              <w:left w:w="20" w:type="dxa"/>
              <w:bottom w:w="0" w:type="dxa"/>
              <w:right w:w="20" w:type="dxa"/>
            </w:tcMar>
            <w:vAlign w:val="center"/>
            <w:hideMark/>
          </w:tcPr>
          <w:p w14:paraId="5A516F82"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0.293</w:t>
            </w:r>
          </w:p>
        </w:tc>
      </w:tr>
      <w:tr w:rsidR="0004221E" w:rsidRPr="0004221E" w14:paraId="76A0C79B"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1EE4881B"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321113</w:t>
            </w:r>
          </w:p>
        </w:tc>
        <w:tc>
          <w:tcPr>
            <w:tcW w:w="3754" w:type="dxa"/>
            <w:shd w:val="clear" w:color="auto" w:fill="auto"/>
            <w:tcMar>
              <w:top w:w="20" w:type="dxa"/>
              <w:left w:w="20" w:type="dxa"/>
              <w:bottom w:w="0" w:type="dxa"/>
              <w:right w:w="20" w:type="dxa"/>
            </w:tcMar>
            <w:vAlign w:val="center"/>
            <w:hideMark/>
          </w:tcPr>
          <w:p w14:paraId="40463213"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Sawmills</w:t>
            </w:r>
          </w:p>
        </w:tc>
        <w:tc>
          <w:tcPr>
            <w:tcW w:w="1484" w:type="dxa"/>
            <w:shd w:val="clear" w:color="auto" w:fill="auto"/>
            <w:tcMar>
              <w:top w:w="20" w:type="dxa"/>
              <w:left w:w="20" w:type="dxa"/>
              <w:bottom w:w="0" w:type="dxa"/>
              <w:right w:w="20" w:type="dxa"/>
            </w:tcMar>
            <w:vAlign w:val="center"/>
            <w:hideMark/>
          </w:tcPr>
          <w:p w14:paraId="5FFBE611"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5</w:t>
            </w:r>
          </w:p>
        </w:tc>
        <w:tc>
          <w:tcPr>
            <w:tcW w:w="1260" w:type="dxa"/>
            <w:shd w:val="clear" w:color="auto" w:fill="auto"/>
            <w:tcMar>
              <w:top w:w="20" w:type="dxa"/>
              <w:left w:w="20" w:type="dxa"/>
              <w:bottom w:w="0" w:type="dxa"/>
              <w:right w:w="20" w:type="dxa"/>
            </w:tcMar>
            <w:vAlign w:val="center"/>
            <w:hideMark/>
          </w:tcPr>
          <w:p w14:paraId="5DB6168E" w14:textId="5F0C43E2" w:rsidR="00AD14B0" w:rsidRPr="00B212E8" w:rsidRDefault="00F91E52" w:rsidP="00F91E52">
            <w:pPr>
              <w:jc w:val="center"/>
              <w:rPr>
                <w:rFonts w:ascii="Arial" w:hAnsi="Arial" w:cs="Arial"/>
                <w:sz w:val="18"/>
                <w:szCs w:val="18"/>
              </w:rPr>
            </w:pPr>
            <w:r w:rsidRPr="00B212E8">
              <w:rPr>
                <w:rFonts w:ascii="Arial" w:hAnsi="Arial" w:cs="Arial"/>
                <w:sz w:val="18"/>
                <w:szCs w:val="18"/>
              </w:rPr>
              <w:t>1</w:t>
            </w:r>
            <w:r w:rsidR="008C14E2">
              <w:rPr>
                <w:rFonts w:ascii="Arial" w:hAnsi="Arial" w:cs="Arial"/>
                <w:sz w:val="18"/>
                <w:szCs w:val="18"/>
              </w:rPr>
              <w:t>,</w:t>
            </w:r>
            <w:r w:rsidRPr="00B212E8">
              <w:rPr>
                <w:rFonts w:ascii="Arial" w:hAnsi="Arial" w:cs="Arial"/>
                <w:sz w:val="18"/>
                <w:szCs w:val="18"/>
              </w:rPr>
              <w:t>659</w:t>
            </w:r>
          </w:p>
        </w:tc>
        <w:tc>
          <w:tcPr>
            <w:tcW w:w="1586" w:type="dxa"/>
            <w:shd w:val="clear" w:color="auto" w:fill="auto"/>
            <w:tcMar>
              <w:top w:w="20" w:type="dxa"/>
              <w:left w:w="20" w:type="dxa"/>
              <w:bottom w:w="0" w:type="dxa"/>
              <w:right w:w="20" w:type="dxa"/>
            </w:tcMar>
            <w:vAlign w:val="center"/>
            <w:hideMark/>
          </w:tcPr>
          <w:p w14:paraId="2D8C3382"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0.003</w:t>
            </w:r>
          </w:p>
        </w:tc>
      </w:tr>
      <w:tr w:rsidR="0004221E" w:rsidRPr="0004221E" w14:paraId="1AAE22FB"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11168D28"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325120</w:t>
            </w:r>
          </w:p>
        </w:tc>
        <w:tc>
          <w:tcPr>
            <w:tcW w:w="3754" w:type="dxa"/>
            <w:shd w:val="clear" w:color="auto" w:fill="auto"/>
            <w:tcMar>
              <w:top w:w="20" w:type="dxa"/>
              <w:left w:w="20" w:type="dxa"/>
              <w:bottom w:w="0" w:type="dxa"/>
              <w:right w:w="20" w:type="dxa"/>
            </w:tcMar>
            <w:vAlign w:val="center"/>
            <w:hideMark/>
          </w:tcPr>
          <w:p w14:paraId="2931F726"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Industrial Gases</w:t>
            </w:r>
          </w:p>
        </w:tc>
        <w:tc>
          <w:tcPr>
            <w:tcW w:w="1484" w:type="dxa"/>
            <w:shd w:val="clear" w:color="auto" w:fill="auto"/>
            <w:tcMar>
              <w:top w:w="20" w:type="dxa"/>
              <w:left w:w="20" w:type="dxa"/>
              <w:bottom w:w="0" w:type="dxa"/>
              <w:right w:w="20" w:type="dxa"/>
            </w:tcMar>
            <w:vAlign w:val="center"/>
            <w:hideMark/>
          </w:tcPr>
          <w:p w14:paraId="7CE32872"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4</w:t>
            </w:r>
          </w:p>
        </w:tc>
        <w:tc>
          <w:tcPr>
            <w:tcW w:w="1260" w:type="dxa"/>
            <w:shd w:val="clear" w:color="auto" w:fill="auto"/>
            <w:tcMar>
              <w:top w:w="20" w:type="dxa"/>
              <w:left w:w="20" w:type="dxa"/>
              <w:bottom w:w="0" w:type="dxa"/>
              <w:right w:w="20" w:type="dxa"/>
            </w:tcMar>
            <w:vAlign w:val="center"/>
            <w:hideMark/>
          </w:tcPr>
          <w:p w14:paraId="31938DBC"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486</w:t>
            </w:r>
          </w:p>
        </w:tc>
        <w:tc>
          <w:tcPr>
            <w:tcW w:w="1586" w:type="dxa"/>
            <w:shd w:val="clear" w:color="auto" w:fill="auto"/>
            <w:tcMar>
              <w:top w:w="20" w:type="dxa"/>
              <w:left w:w="20" w:type="dxa"/>
              <w:bottom w:w="0" w:type="dxa"/>
              <w:right w:w="20" w:type="dxa"/>
            </w:tcMar>
            <w:vAlign w:val="center"/>
            <w:hideMark/>
          </w:tcPr>
          <w:p w14:paraId="04B12391"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0.008</w:t>
            </w:r>
          </w:p>
        </w:tc>
      </w:tr>
      <w:tr w:rsidR="0004221E" w:rsidRPr="0004221E" w14:paraId="34F35451"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2580BE98"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325412</w:t>
            </w:r>
          </w:p>
        </w:tc>
        <w:tc>
          <w:tcPr>
            <w:tcW w:w="3754" w:type="dxa"/>
            <w:shd w:val="clear" w:color="auto" w:fill="auto"/>
            <w:tcMar>
              <w:top w:w="20" w:type="dxa"/>
              <w:left w:w="20" w:type="dxa"/>
              <w:bottom w:w="0" w:type="dxa"/>
              <w:right w:w="20" w:type="dxa"/>
            </w:tcMar>
            <w:vAlign w:val="center"/>
            <w:hideMark/>
          </w:tcPr>
          <w:p w14:paraId="571C84AA"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Pharmaceutical Preparation</w:t>
            </w:r>
          </w:p>
        </w:tc>
        <w:tc>
          <w:tcPr>
            <w:tcW w:w="1484" w:type="dxa"/>
            <w:shd w:val="clear" w:color="auto" w:fill="auto"/>
            <w:tcMar>
              <w:top w:w="20" w:type="dxa"/>
              <w:left w:w="20" w:type="dxa"/>
              <w:bottom w:w="0" w:type="dxa"/>
              <w:right w:w="20" w:type="dxa"/>
            </w:tcMar>
            <w:vAlign w:val="center"/>
            <w:hideMark/>
          </w:tcPr>
          <w:p w14:paraId="7C1A577A"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w:t>
            </w:r>
          </w:p>
        </w:tc>
        <w:tc>
          <w:tcPr>
            <w:tcW w:w="1260" w:type="dxa"/>
            <w:shd w:val="clear" w:color="auto" w:fill="auto"/>
            <w:tcMar>
              <w:top w:w="20" w:type="dxa"/>
              <w:left w:w="20" w:type="dxa"/>
              <w:bottom w:w="0" w:type="dxa"/>
              <w:right w:w="20" w:type="dxa"/>
            </w:tcMar>
            <w:vAlign w:val="center"/>
            <w:hideMark/>
          </w:tcPr>
          <w:p w14:paraId="199AEED7"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609</w:t>
            </w:r>
          </w:p>
        </w:tc>
        <w:tc>
          <w:tcPr>
            <w:tcW w:w="1586" w:type="dxa"/>
            <w:shd w:val="clear" w:color="auto" w:fill="auto"/>
            <w:tcMar>
              <w:top w:w="20" w:type="dxa"/>
              <w:left w:w="20" w:type="dxa"/>
              <w:bottom w:w="0" w:type="dxa"/>
              <w:right w:w="20" w:type="dxa"/>
            </w:tcMar>
            <w:vAlign w:val="center"/>
            <w:hideMark/>
          </w:tcPr>
          <w:p w14:paraId="67C969F9"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0.005</w:t>
            </w:r>
          </w:p>
        </w:tc>
      </w:tr>
      <w:tr w:rsidR="0004221E" w:rsidRPr="0004221E" w14:paraId="00EDD105"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75F67F9D"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322122</w:t>
            </w:r>
          </w:p>
        </w:tc>
        <w:tc>
          <w:tcPr>
            <w:tcW w:w="3754" w:type="dxa"/>
            <w:shd w:val="clear" w:color="auto" w:fill="auto"/>
            <w:tcMar>
              <w:top w:w="20" w:type="dxa"/>
              <w:left w:w="20" w:type="dxa"/>
              <w:bottom w:w="0" w:type="dxa"/>
              <w:right w:w="20" w:type="dxa"/>
            </w:tcMar>
            <w:vAlign w:val="center"/>
            <w:hideMark/>
          </w:tcPr>
          <w:p w14:paraId="0C8AA239"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Newsprint Mills</w:t>
            </w:r>
          </w:p>
        </w:tc>
        <w:tc>
          <w:tcPr>
            <w:tcW w:w="1484" w:type="dxa"/>
            <w:shd w:val="clear" w:color="auto" w:fill="auto"/>
            <w:tcMar>
              <w:top w:w="20" w:type="dxa"/>
              <w:left w:w="20" w:type="dxa"/>
              <w:bottom w:w="0" w:type="dxa"/>
              <w:right w:w="20" w:type="dxa"/>
            </w:tcMar>
            <w:vAlign w:val="center"/>
            <w:hideMark/>
          </w:tcPr>
          <w:p w14:paraId="3D7E25AC"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2</w:t>
            </w:r>
          </w:p>
        </w:tc>
        <w:tc>
          <w:tcPr>
            <w:tcW w:w="1260" w:type="dxa"/>
            <w:shd w:val="clear" w:color="auto" w:fill="auto"/>
            <w:tcMar>
              <w:top w:w="20" w:type="dxa"/>
              <w:left w:w="20" w:type="dxa"/>
              <w:bottom w:w="0" w:type="dxa"/>
              <w:right w:w="20" w:type="dxa"/>
            </w:tcMar>
            <w:vAlign w:val="center"/>
            <w:hideMark/>
          </w:tcPr>
          <w:p w14:paraId="2B77FD78"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26</w:t>
            </w:r>
          </w:p>
        </w:tc>
        <w:tc>
          <w:tcPr>
            <w:tcW w:w="1586" w:type="dxa"/>
            <w:shd w:val="clear" w:color="auto" w:fill="auto"/>
            <w:tcMar>
              <w:top w:w="20" w:type="dxa"/>
              <w:left w:w="20" w:type="dxa"/>
              <w:bottom w:w="0" w:type="dxa"/>
              <w:right w:w="20" w:type="dxa"/>
            </w:tcMar>
            <w:vAlign w:val="center"/>
            <w:hideMark/>
          </w:tcPr>
          <w:p w14:paraId="3543B119"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0.077</w:t>
            </w:r>
          </w:p>
        </w:tc>
      </w:tr>
      <w:tr w:rsidR="0004221E" w:rsidRPr="0004221E" w14:paraId="6678C038"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3E78647D"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325992</w:t>
            </w:r>
          </w:p>
        </w:tc>
        <w:tc>
          <w:tcPr>
            <w:tcW w:w="3754" w:type="dxa"/>
            <w:shd w:val="clear" w:color="auto" w:fill="auto"/>
            <w:tcMar>
              <w:top w:w="20" w:type="dxa"/>
              <w:left w:w="20" w:type="dxa"/>
              <w:bottom w:w="0" w:type="dxa"/>
              <w:right w:w="20" w:type="dxa"/>
            </w:tcMar>
            <w:vAlign w:val="center"/>
            <w:hideMark/>
          </w:tcPr>
          <w:p w14:paraId="2BB3E7AE"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Photographic Film, Paper, Plate, and Chemicals</w:t>
            </w:r>
          </w:p>
        </w:tc>
        <w:tc>
          <w:tcPr>
            <w:tcW w:w="1484" w:type="dxa"/>
            <w:shd w:val="clear" w:color="auto" w:fill="auto"/>
            <w:tcMar>
              <w:top w:w="20" w:type="dxa"/>
              <w:left w:w="20" w:type="dxa"/>
              <w:bottom w:w="0" w:type="dxa"/>
              <w:right w:w="20" w:type="dxa"/>
            </w:tcMar>
            <w:vAlign w:val="center"/>
            <w:hideMark/>
          </w:tcPr>
          <w:p w14:paraId="2FCBBC1A"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1</w:t>
            </w:r>
          </w:p>
        </w:tc>
        <w:tc>
          <w:tcPr>
            <w:tcW w:w="1260" w:type="dxa"/>
            <w:shd w:val="clear" w:color="auto" w:fill="auto"/>
            <w:tcMar>
              <w:top w:w="20" w:type="dxa"/>
              <w:left w:w="20" w:type="dxa"/>
              <w:bottom w:w="0" w:type="dxa"/>
              <w:right w:w="20" w:type="dxa"/>
            </w:tcMar>
            <w:vAlign w:val="center"/>
            <w:hideMark/>
          </w:tcPr>
          <w:p w14:paraId="35FC0CA2"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138</w:t>
            </w:r>
          </w:p>
        </w:tc>
        <w:tc>
          <w:tcPr>
            <w:tcW w:w="1586" w:type="dxa"/>
            <w:shd w:val="clear" w:color="auto" w:fill="auto"/>
            <w:tcMar>
              <w:top w:w="20" w:type="dxa"/>
              <w:left w:w="20" w:type="dxa"/>
              <w:bottom w:w="0" w:type="dxa"/>
              <w:right w:w="20" w:type="dxa"/>
            </w:tcMar>
            <w:vAlign w:val="center"/>
            <w:hideMark/>
          </w:tcPr>
          <w:p w14:paraId="217D7EDE"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0.007</w:t>
            </w:r>
          </w:p>
        </w:tc>
      </w:tr>
      <w:tr w:rsidR="0004221E" w:rsidRPr="0004221E" w14:paraId="04FC9DD9"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41731FAD"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325110</w:t>
            </w:r>
          </w:p>
        </w:tc>
        <w:tc>
          <w:tcPr>
            <w:tcW w:w="3754" w:type="dxa"/>
            <w:shd w:val="clear" w:color="auto" w:fill="auto"/>
            <w:tcMar>
              <w:top w:w="20" w:type="dxa"/>
              <w:left w:w="20" w:type="dxa"/>
              <w:bottom w:w="0" w:type="dxa"/>
              <w:right w:w="20" w:type="dxa"/>
            </w:tcMar>
            <w:vAlign w:val="center"/>
            <w:hideMark/>
          </w:tcPr>
          <w:p w14:paraId="789308EF"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Petrochemicals</w:t>
            </w:r>
          </w:p>
        </w:tc>
        <w:tc>
          <w:tcPr>
            <w:tcW w:w="1484" w:type="dxa"/>
            <w:shd w:val="clear" w:color="auto" w:fill="auto"/>
            <w:tcMar>
              <w:top w:w="20" w:type="dxa"/>
              <w:left w:w="20" w:type="dxa"/>
              <w:bottom w:w="0" w:type="dxa"/>
              <w:right w:w="20" w:type="dxa"/>
            </w:tcMar>
            <w:vAlign w:val="center"/>
            <w:hideMark/>
          </w:tcPr>
          <w:p w14:paraId="3BCAB7E7"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w:t>
            </w:r>
          </w:p>
        </w:tc>
        <w:tc>
          <w:tcPr>
            <w:tcW w:w="1260" w:type="dxa"/>
            <w:shd w:val="clear" w:color="auto" w:fill="auto"/>
            <w:tcMar>
              <w:top w:w="20" w:type="dxa"/>
              <w:left w:w="20" w:type="dxa"/>
              <w:bottom w:w="0" w:type="dxa"/>
              <w:right w:w="20" w:type="dxa"/>
            </w:tcMar>
            <w:vAlign w:val="center"/>
            <w:hideMark/>
          </w:tcPr>
          <w:p w14:paraId="6AFDF527"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40</w:t>
            </w:r>
          </w:p>
        </w:tc>
        <w:tc>
          <w:tcPr>
            <w:tcW w:w="1586" w:type="dxa"/>
            <w:shd w:val="clear" w:color="auto" w:fill="auto"/>
            <w:tcMar>
              <w:top w:w="20" w:type="dxa"/>
              <w:left w:w="20" w:type="dxa"/>
              <w:bottom w:w="0" w:type="dxa"/>
              <w:right w:w="20" w:type="dxa"/>
            </w:tcMar>
            <w:vAlign w:val="center"/>
            <w:hideMark/>
          </w:tcPr>
          <w:p w14:paraId="2BB2CA03"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0.000</w:t>
            </w:r>
          </w:p>
        </w:tc>
      </w:tr>
      <w:tr w:rsidR="0004221E" w:rsidRPr="0004221E" w14:paraId="61CC5A45" w14:textId="77777777" w:rsidTr="00A15D31">
        <w:trPr>
          <w:trHeight w:val="288"/>
          <w:jc w:val="center"/>
        </w:trPr>
        <w:tc>
          <w:tcPr>
            <w:tcW w:w="1029" w:type="dxa"/>
            <w:shd w:val="clear" w:color="auto" w:fill="auto"/>
            <w:tcMar>
              <w:top w:w="20" w:type="dxa"/>
              <w:left w:w="20" w:type="dxa"/>
              <w:bottom w:w="0" w:type="dxa"/>
              <w:right w:w="20" w:type="dxa"/>
            </w:tcMar>
            <w:vAlign w:val="center"/>
            <w:hideMark/>
          </w:tcPr>
          <w:p w14:paraId="6A404F9E"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325212</w:t>
            </w:r>
          </w:p>
        </w:tc>
        <w:tc>
          <w:tcPr>
            <w:tcW w:w="3754" w:type="dxa"/>
            <w:shd w:val="clear" w:color="auto" w:fill="auto"/>
            <w:tcMar>
              <w:top w:w="20" w:type="dxa"/>
              <w:left w:w="20" w:type="dxa"/>
              <w:bottom w:w="0" w:type="dxa"/>
              <w:right w:w="20" w:type="dxa"/>
            </w:tcMar>
            <w:vAlign w:val="center"/>
            <w:hideMark/>
          </w:tcPr>
          <w:p w14:paraId="403B4CAC"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Synthetic Rubber</w:t>
            </w:r>
          </w:p>
        </w:tc>
        <w:tc>
          <w:tcPr>
            <w:tcW w:w="1484" w:type="dxa"/>
            <w:shd w:val="clear" w:color="auto" w:fill="auto"/>
            <w:tcMar>
              <w:top w:w="20" w:type="dxa"/>
              <w:left w:w="20" w:type="dxa"/>
              <w:bottom w:w="0" w:type="dxa"/>
              <w:right w:w="20" w:type="dxa"/>
            </w:tcMar>
            <w:vAlign w:val="center"/>
            <w:hideMark/>
          </w:tcPr>
          <w:p w14:paraId="3DF92805"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w:t>
            </w:r>
          </w:p>
        </w:tc>
        <w:tc>
          <w:tcPr>
            <w:tcW w:w="1260" w:type="dxa"/>
            <w:shd w:val="clear" w:color="auto" w:fill="auto"/>
            <w:tcMar>
              <w:top w:w="20" w:type="dxa"/>
              <w:left w:w="20" w:type="dxa"/>
              <w:bottom w:w="0" w:type="dxa"/>
              <w:right w:w="20" w:type="dxa"/>
            </w:tcMar>
            <w:vAlign w:val="center"/>
            <w:hideMark/>
          </w:tcPr>
          <w:p w14:paraId="1A8110E0"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126</w:t>
            </w:r>
          </w:p>
        </w:tc>
        <w:tc>
          <w:tcPr>
            <w:tcW w:w="1586" w:type="dxa"/>
            <w:shd w:val="clear" w:color="auto" w:fill="auto"/>
            <w:tcMar>
              <w:top w:w="20" w:type="dxa"/>
              <w:left w:w="20" w:type="dxa"/>
              <w:bottom w:w="0" w:type="dxa"/>
              <w:right w:w="20" w:type="dxa"/>
            </w:tcMar>
            <w:vAlign w:val="center"/>
            <w:hideMark/>
          </w:tcPr>
          <w:p w14:paraId="647118AC" w14:textId="77777777" w:rsidR="00AD14B0" w:rsidRPr="00B212E8" w:rsidRDefault="00F91E52" w:rsidP="00F91E52">
            <w:pPr>
              <w:jc w:val="center"/>
              <w:rPr>
                <w:rFonts w:ascii="Arial" w:hAnsi="Arial" w:cs="Arial"/>
                <w:sz w:val="18"/>
                <w:szCs w:val="18"/>
              </w:rPr>
            </w:pPr>
            <w:r w:rsidRPr="00B212E8">
              <w:rPr>
                <w:rFonts w:ascii="Arial" w:hAnsi="Arial" w:cs="Arial"/>
                <w:sz w:val="18"/>
                <w:szCs w:val="18"/>
              </w:rPr>
              <w:t>0.000</w:t>
            </w:r>
          </w:p>
        </w:tc>
      </w:tr>
    </w:tbl>
    <w:p w14:paraId="0885752E" w14:textId="77777777" w:rsidR="00F91E52" w:rsidRDefault="00F91E52" w:rsidP="0005411D"/>
    <w:p w14:paraId="0A55E8EA" w14:textId="7F7666D5" w:rsidR="00C813AD" w:rsidRDefault="00D3697A" w:rsidP="0005411D">
      <w:pPr>
        <w:rPr>
          <w:rFonts w:cs="Times New Roman"/>
        </w:rPr>
      </w:pPr>
      <w:r w:rsidRPr="00D3697A">
        <w:rPr>
          <w:rFonts w:cs="Times New Roman"/>
        </w:rPr>
        <w:t xml:space="preserve">Combining the demand intensity values with the </w:t>
      </w:r>
      <w:r>
        <w:rPr>
          <w:rFonts w:cs="Times New Roman"/>
        </w:rPr>
        <w:t>number of establishments in each county (reported by the CBP)</w:t>
      </w:r>
      <w:r w:rsidR="0061447E">
        <w:rPr>
          <w:rFonts w:cs="Times New Roman"/>
        </w:rPr>
        <w:t>,</w:t>
      </w:r>
      <w:r>
        <w:rPr>
          <w:rFonts w:cs="Times New Roman"/>
        </w:rPr>
        <w:t xml:space="preserve"> we were able to calculate the thermal demand for the 14 filtered industries at the county level.</w:t>
      </w:r>
      <w:r w:rsidR="00AD14B0">
        <w:rPr>
          <w:rFonts w:cs="Times New Roman"/>
        </w:rPr>
        <w:t xml:space="preserve"> </w:t>
      </w:r>
      <w:r w:rsidR="00DA09F3">
        <w:rPr>
          <w:rFonts w:cs="Times New Roman"/>
        </w:rPr>
        <w:fldChar w:fldCharType="begin"/>
      </w:r>
      <w:r w:rsidR="00DA09F3">
        <w:rPr>
          <w:rFonts w:cs="Times New Roman"/>
        </w:rPr>
        <w:instrText xml:space="preserve"> REF _Ref322787658 \h </w:instrText>
      </w:r>
      <w:r w:rsidR="00DA09F3">
        <w:rPr>
          <w:rFonts w:cs="Times New Roman"/>
        </w:rPr>
      </w:r>
      <w:r w:rsidR="00DA09F3">
        <w:rPr>
          <w:rFonts w:cs="Times New Roman"/>
        </w:rPr>
        <w:fldChar w:fldCharType="separate"/>
      </w:r>
      <w:r w:rsidR="00244063" w:rsidRPr="00A15D31">
        <w:rPr>
          <w:rFonts w:cs="Times New Roman"/>
        </w:rPr>
        <w:t xml:space="preserve">Table </w:t>
      </w:r>
      <w:r w:rsidR="00244063">
        <w:rPr>
          <w:rFonts w:cs="Times New Roman"/>
          <w:noProof/>
        </w:rPr>
        <w:t>6</w:t>
      </w:r>
      <w:r w:rsidR="00DA09F3">
        <w:rPr>
          <w:rFonts w:cs="Times New Roman"/>
        </w:rPr>
        <w:fldChar w:fldCharType="end"/>
      </w:r>
      <w:r w:rsidR="00AB2957">
        <w:rPr>
          <w:rFonts w:cs="Times New Roman"/>
        </w:rPr>
        <w:t xml:space="preserve"> gi</w:t>
      </w:r>
      <w:r w:rsidR="00606F9C">
        <w:rPr>
          <w:rFonts w:cs="Times New Roman"/>
        </w:rPr>
        <w:t xml:space="preserve">ves a subset of counties </w:t>
      </w:r>
      <w:r w:rsidR="00AB2957">
        <w:rPr>
          <w:rFonts w:cs="Times New Roman"/>
        </w:rPr>
        <w:t>and their corresponding total thermal demand, calcula</w:t>
      </w:r>
      <w:r w:rsidR="00EE1EB9">
        <w:rPr>
          <w:rFonts w:cs="Times New Roman"/>
        </w:rPr>
        <w:t>ted by summing the demand for each</w:t>
      </w:r>
      <w:r w:rsidR="00AB2957">
        <w:rPr>
          <w:rFonts w:cs="Times New Roman"/>
        </w:rPr>
        <w:t xml:space="preserve"> 6-digit NAICS code</w:t>
      </w:r>
      <w:r w:rsidR="00AB3270">
        <w:rPr>
          <w:rFonts w:cs="Times New Roman"/>
        </w:rPr>
        <w:t>; the full list of counties will be uploaded to the GDR</w:t>
      </w:r>
      <w:r w:rsidR="00AB2957">
        <w:rPr>
          <w:rFonts w:cs="Times New Roman"/>
        </w:rPr>
        <w:t xml:space="preserve">. </w:t>
      </w:r>
      <w:r w:rsidR="0061447E">
        <w:rPr>
          <w:rFonts w:cs="Times New Roman"/>
        </w:rPr>
        <w:t>B</w:t>
      </w:r>
      <w:r w:rsidR="00E83F01">
        <w:rPr>
          <w:rFonts w:cs="Times New Roman"/>
        </w:rPr>
        <w:t>y using establishment counts as the disaggregation metric, we inherently assume that each manufacturing facility</w:t>
      </w:r>
      <w:r w:rsidR="00E64146">
        <w:rPr>
          <w:rFonts w:cs="Times New Roman"/>
        </w:rPr>
        <w:t xml:space="preserve"> with the same NAICS</w:t>
      </w:r>
      <w:r w:rsidR="00E83F01">
        <w:rPr>
          <w:rFonts w:cs="Times New Roman"/>
        </w:rPr>
        <w:t xml:space="preserve"> </w:t>
      </w:r>
      <w:r w:rsidR="00E64146">
        <w:rPr>
          <w:rFonts w:cs="Times New Roman"/>
        </w:rPr>
        <w:t xml:space="preserve">code </w:t>
      </w:r>
      <w:r w:rsidR="00E83F01">
        <w:rPr>
          <w:rFonts w:cs="Times New Roman"/>
        </w:rPr>
        <w:t xml:space="preserve">uses </w:t>
      </w:r>
      <w:r w:rsidR="00E64146">
        <w:rPr>
          <w:rFonts w:cs="Times New Roman"/>
        </w:rPr>
        <w:t>an equal amount</w:t>
      </w:r>
      <w:r w:rsidR="00E83F01">
        <w:rPr>
          <w:rFonts w:cs="Times New Roman"/>
        </w:rPr>
        <w:t xml:space="preserve"> of energy. While this </w:t>
      </w:r>
      <w:r w:rsidR="00E64146">
        <w:rPr>
          <w:rFonts w:cs="Times New Roman"/>
        </w:rPr>
        <w:t xml:space="preserve">assumption is </w:t>
      </w:r>
      <w:r w:rsidR="0061447E">
        <w:rPr>
          <w:rFonts w:cs="Times New Roman"/>
        </w:rPr>
        <w:t>not ideal</w:t>
      </w:r>
      <w:r w:rsidR="00E83F01">
        <w:rPr>
          <w:rFonts w:cs="Times New Roman"/>
        </w:rPr>
        <w:t>,</w:t>
      </w:r>
      <w:r w:rsidR="00E64146">
        <w:rPr>
          <w:rFonts w:cs="Times New Roman"/>
        </w:rPr>
        <w:t xml:space="preserve"> the available data are not sufficient to accurately capture intra-industry variation in demand intensity. </w:t>
      </w:r>
      <w:r w:rsidR="0061447E">
        <w:rPr>
          <w:rFonts w:cs="Times New Roman"/>
        </w:rPr>
        <w:t>T</w:t>
      </w:r>
      <w:r w:rsidR="00E64146">
        <w:rPr>
          <w:rFonts w:cs="Times New Roman"/>
        </w:rPr>
        <w:t xml:space="preserve">his </w:t>
      </w:r>
      <w:r w:rsidR="00E83F01">
        <w:rPr>
          <w:rFonts w:cs="Times New Roman"/>
        </w:rPr>
        <w:t xml:space="preserve">initial analysis </w:t>
      </w:r>
      <w:r w:rsidR="00E64146">
        <w:rPr>
          <w:rFonts w:cs="Times New Roman"/>
        </w:rPr>
        <w:t xml:space="preserve">represents a </w:t>
      </w:r>
      <w:r w:rsidR="0061447E">
        <w:rPr>
          <w:rFonts w:cs="Times New Roman"/>
        </w:rPr>
        <w:t>first cut</w:t>
      </w:r>
      <w:r w:rsidR="00E64146">
        <w:rPr>
          <w:rFonts w:cs="Times New Roman"/>
        </w:rPr>
        <w:t xml:space="preserve"> in resolving </w:t>
      </w:r>
      <w:r w:rsidR="000678B9">
        <w:rPr>
          <w:rFonts w:cs="Times New Roman"/>
        </w:rPr>
        <w:t xml:space="preserve">local </w:t>
      </w:r>
      <w:r w:rsidR="00E64146">
        <w:rPr>
          <w:rFonts w:cs="Times New Roman"/>
        </w:rPr>
        <w:t xml:space="preserve">variation </w:t>
      </w:r>
      <w:r w:rsidR="000678B9">
        <w:rPr>
          <w:rFonts w:cs="Times New Roman"/>
        </w:rPr>
        <w:t>in</w:t>
      </w:r>
      <w:r w:rsidR="00F2777C">
        <w:rPr>
          <w:rFonts w:cs="Times New Roman"/>
        </w:rPr>
        <w:t xml:space="preserve"> industrial manufacturing thermal demand </w:t>
      </w:r>
      <w:r w:rsidR="00434092">
        <w:rPr>
          <w:rFonts w:cs="Times New Roman"/>
        </w:rPr>
        <w:t>across</w:t>
      </w:r>
      <w:r w:rsidR="000678B9">
        <w:rPr>
          <w:rFonts w:cs="Times New Roman"/>
        </w:rPr>
        <w:t xml:space="preserve"> the</w:t>
      </w:r>
      <w:r w:rsidR="0061447E">
        <w:rPr>
          <w:rFonts w:cs="Times New Roman"/>
        </w:rPr>
        <w:t xml:space="preserve"> United States, and further analysis will be conducted once more specific data become available.</w:t>
      </w:r>
    </w:p>
    <w:p w14:paraId="334156C1" w14:textId="77777777" w:rsidR="007C5459" w:rsidRDefault="007C5459" w:rsidP="0005411D">
      <w:pPr>
        <w:rPr>
          <w:rFonts w:cs="Times New Roman"/>
        </w:rPr>
      </w:pPr>
    </w:p>
    <w:p w14:paraId="5012646C" w14:textId="77777777" w:rsidR="00297D42" w:rsidRDefault="00297D42">
      <w:pPr>
        <w:rPr>
          <w:rFonts w:cs="Times New Roman"/>
          <w:b/>
          <w:bCs/>
          <w:sz w:val="18"/>
          <w:szCs w:val="18"/>
        </w:rPr>
      </w:pPr>
      <w:bookmarkStart w:id="10" w:name="_Ref322787658"/>
      <w:r>
        <w:rPr>
          <w:rFonts w:cs="Times New Roman"/>
        </w:rPr>
        <w:br w:type="page"/>
      </w:r>
    </w:p>
    <w:p w14:paraId="1B1B2CBB" w14:textId="5542D3B5" w:rsidR="003C2BFC" w:rsidRPr="00A15D31" w:rsidRDefault="003C2BFC" w:rsidP="003C2BFC">
      <w:pPr>
        <w:pStyle w:val="Caption"/>
        <w:keepNext/>
        <w:jc w:val="center"/>
        <w:rPr>
          <w:rFonts w:cs="Times New Roman"/>
          <w:b w:val="0"/>
          <w:color w:val="auto"/>
        </w:rPr>
      </w:pPr>
      <w:r w:rsidRPr="00A15D31">
        <w:rPr>
          <w:rFonts w:cs="Times New Roman"/>
          <w:color w:val="auto"/>
        </w:rPr>
        <w:lastRenderedPageBreak/>
        <w:t xml:space="preserve">Table </w:t>
      </w:r>
      <w:r w:rsidRPr="00A15D31">
        <w:rPr>
          <w:rFonts w:cs="Times New Roman"/>
          <w:color w:val="auto"/>
        </w:rPr>
        <w:fldChar w:fldCharType="begin"/>
      </w:r>
      <w:r w:rsidRPr="00A15D31">
        <w:rPr>
          <w:rFonts w:cs="Times New Roman"/>
          <w:color w:val="auto"/>
        </w:rPr>
        <w:instrText xml:space="preserve"> SEQ Table \* ARABIC </w:instrText>
      </w:r>
      <w:r w:rsidRPr="00A15D31">
        <w:rPr>
          <w:rFonts w:cs="Times New Roman"/>
          <w:color w:val="auto"/>
        </w:rPr>
        <w:fldChar w:fldCharType="separate"/>
      </w:r>
      <w:r w:rsidR="00244063">
        <w:rPr>
          <w:rFonts w:cs="Times New Roman"/>
          <w:noProof/>
          <w:color w:val="auto"/>
        </w:rPr>
        <w:t>6</w:t>
      </w:r>
      <w:r w:rsidRPr="00A15D31">
        <w:rPr>
          <w:rFonts w:cs="Times New Roman"/>
          <w:color w:val="auto"/>
        </w:rPr>
        <w:fldChar w:fldCharType="end"/>
      </w:r>
      <w:bookmarkEnd w:id="10"/>
      <w:r w:rsidRPr="00A15D31">
        <w:rPr>
          <w:rFonts w:cs="Times New Roman"/>
          <w:color w:val="auto"/>
        </w:rPr>
        <w:t xml:space="preserve">: </w:t>
      </w:r>
      <w:r w:rsidRPr="00A15D31">
        <w:rPr>
          <w:rFonts w:cs="Times New Roman"/>
          <w:b w:val="0"/>
          <w:color w:val="auto"/>
        </w:rPr>
        <w:t>Total county demand (</w:t>
      </w:r>
      <w:r w:rsidR="00072E2C">
        <w:rPr>
          <w:rFonts w:cs="Times New Roman"/>
          <w:b w:val="0"/>
          <w:color w:val="auto"/>
        </w:rPr>
        <w:t>t</w:t>
      </w:r>
      <w:r w:rsidRPr="00A15D31">
        <w:rPr>
          <w:rFonts w:cs="Times New Roman"/>
          <w:b w:val="0"/>
          <w:color w:val="auto"/>
        </w:rPr>
        <w:t xml:space="preserve">rillion </w:t>
      </w:r>
      <w:r w:rsidR="008F7D6F">
        <w:rPr>
          <w:rFonts w:cs="Times New Roman"/>
          <w:b w:val="0"/>
          <w:color w:val="auto"/>
        </w:rPr>
        <w:t>Btu</w:t>
      </w:r>
      <w:r w:rsidRPr="00A15D31">
        <w:rPr>
          <w:rFonts w:cs="Times New Roman"/>
          <w:b w:val="0"/>
          <w:color w:val="auto"/>
        </w:rPr>
        <w:t>) for process steam</w:t>
      </w:r>
    </w:p>
    <w:tbl>
      <w:tblPr>
        <w:tblW w:w="4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456"/>
        <w:gridCol w:w="1496"/>
      </w:tblGrid>
      <w:tr w:rsidR="007C5459" w:rsidRPr="007C5459" w14:paraId="5E447678" w14:textId="77777777" w:rsidTr="00427C94">
        <w:trPr>
          <w:trHeight w:val="300"/>
          <w:jc w:val="center"/>
        </w:trPr>
        <w:tc>
          <w:tcPr>
            <w:tcW w:w="1300" w:type="dxa"/>
            <w:shd w:val="clear" w:color="auto" w:fill="4F81BD" w:themeFill="accent1"/>
            <w:noWrap/>
            <w:vAlign w:val="center"/>
            <w:hideMark/>
          </w:tcPr>
          <w:p w14:paraId="122E68B3" w14:textId="52A3B812" w:rsidR="007C5459" w:rsidRPr="007C5459" w:rsidRDefault="007C5459" w:rsidP="007C5459">
            <w:pPr>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State</w:t>
            </w:r>
          </w:p>
        </w:tc>
        <w:tc>
          <w:tcPr>
            <w:tcW w:w="1456" w:type="dxa"/>
            <w:shd w:val="clear" w:color="auto" w:fill="4F81BD" w:themeFill="accent1"/>
            <w:noWrap/>
            <w:vAlign w:val="center"/>
            <w:hideMark/>
          </w:tcPr>
          <w:p w14:paraId="19734D9B" w14:textId="4B032B58" w:rsidR="007C5459" w:rsidRPr="007C5459" w:rsidRDefault="007C5459" w:rsidP="007C5459">
            <w:pPr>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County</w:t>
            </w:r>
          </w:p>
        </w:tc>
        <w:tc>
          <w:tcPr>
            <w:tcW w:w="1496" w:type="dxa"/>
            <w:shd w:val="clear" w:color="auto" w:fill="4F81BD" w:themeFill="accent1"/>
            <w:noWrap/>
            <w:vAlign w:val="center"/>
            <w:hideMark/>
          </w:tcPr>
          <w:p w14:paraId="7774FE15" w14:textId="1B3140A7" w:rsidR="007C5459" w:rsidRPr="007C5459" w:rsidRDefault="007C5459" w:rsidP="00297D42">
            <w:pPr>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Total County Demand (</w:t>
            </w:r>
            <w:r w:rsidR="00297D42">
              <w:rPr>
                <w:rFonts w:ascii="Arial" w:eastAsia="Times New Roman" w:hAnsi="Arial" w:cs="Arial"/>
                <w:b/>
                <w:color w:val="FFFFFF" w:themeColor="background1"/>
                <w:sz w:val="20"/>
                <w:szCs w:val="20"/>
              </w:rPr>
              <w:t xml:space="preserve">trillion </w:t>
            </w:r>
            <w:r w:rsidR="008F7D6F">
              <w:rPr>
                <w:rFonts w:ascii="Arial" w:eastAsia="Times New Roman" w:hAnsi="Arial" w:cs="Arial"/>
                <w:b/>
                <w:color w:val="FFFFFF" w:themeColor="background1"/>
                <w:sz w:val="20"/>
                <w:szCs w:val="20"/>
              </w:rPr>
              <w:t>Btu</w:t>
            </w:r>
            <w:r>
              <w:rPr>
                <w:rFonts w:ascii="Arial" w:eastAsia="Times New Roman" w:hAnsi="Arial" w:cs="Arial"/>
                <w:b/>
                <w:color w:val="FFFFFF" w:themeColor="background1"/>
                <w:sz w:val="20"/>
                <w:szCs w:val="20"/>
              </w:rPr>
              <w:t>)</w:t>
            </w:r>
          </w:p>
        </w:tc>
      </w:tr>
      <w:tr w:rsidR="007C5459" w:rsidRPr="007C5459" w14:paraId="2B36D132" w14:textId="77777777" w:rsidTr="00427C94">
        <w:trPr>
          <w:trHeight w:val="300"/>
          <w:jc w:val="center"/>
        </w:trPr>
        <w:tc>
          <w:tcPr>
            <w:tcW w:w="1300" w:type="dxa"/>
            <w:shd w:val="clear" w:color="auto" w:fill="auto"/>
            <w:noWrap/>
            <w:vAlign w:val="center"/>
            <w:hideMark/>
          </w:tcPr>
          <w:p w14:paraId="0381C9C4" w14:textId="77777777" w:rsidR="007C5459" w:rsidRPr="00AE7BCA" w:rsidRDefault="007C5459" w:rsidP="007C5459">
            <w:pPr>
              <w:jc w:val="center"/>
              <w:rPr>
                <w:rFonts w:ascii="Arial" w:eastAsia="Times New Roman" w:hAnsi="Arial" w:cs="Arial"/>
                <w:b/>
                <w:color w:val="000000"/>
                <w:sz w:val="18"/>
                <w:szCs w:val="18"/>
              </w:rPr>
            </w:pPr>
            <w:r w:rsidRPr="00AE7BCA">
              <w:rPr>
                <w:rFonts w:ascii="Arial" w:eastAsia="Times New Roman" w:hAnsi="Arial" w:cs="Arial"/>
                <w:b/>
                <w:color w:val="000000"/>
                <w:sz w:val="18"/>
                <w:szCs w:val="18"/>
              </w:rPr>
              <w:t>Alabama</w:t>
            </w:r>
          </w:p>
        </w:tc>
        <w:tc>
          <w:tcPr>
            <w:tcW w:w="1456" w:type="dxa"/>
            <w:shd w:val="clear" w:color="auto" w:fill="auto"/>
            <w:noWrap/>
            <w:vAlign w:val="center"/>
            <w:hideMark/>
          </w:tcPr>
          <w:p w14:paraId="25261475" w14:textId="77777777" w:rsidR="007C5459" w:rsidRPr="00AE7BCA" w:rsidRDefault="007C5459" w:rsidP="007C5459">
            <w:pPr>
              <w:jc w:val="center"/>
              <w:rPr>
                <w:rFonts w:ascii="Arial" w:eastAsia="Times New Roman" w:hAnsi="Arial" w:cs="Arial"/>
                <w:b/>
                <w:color w:val="000000"/>
                <w:sz w:val="18"/>
                <w:szCs w:val="18"/>
              </w:rPr>
            </w:pPr>
            <w:r w:rsidRPr="00AE7BCA">
              <w:rPr>
                <w:rFonts w:ascii="Arial" w:eastAsia="Times New Roman" w:hAnsi="Arial" w:cs="Arial"/>
                <w:b/>
                <w:color w:val="000000"/>
                <w:sz w:val="18"/>
                <w:szCs w:val="18"/>
              </w:rPr>
              <w:t>Autauga</w:t>
            </w:r>
          </w:p>
        </w:tc>
        <w:tc>
          <w:tcPr>
            <w:tcW w:w="1496" w:type="dxa"/>
            <w:shd w:val="clear" w:color="auto" w:fill="auto"/>
            <w:noWrap/>
            <w:vAlign w:val="center"/>
            <w:hideMark/>
          </w:tcPr>
          <w:p w14:paraId="40EBA572" w14:textId="77777777" w:rsidR="007C5459" w:rsidRPr="007C5459" w:rsidRDefault="007C5459" w:rsidP="007C5459">
            <w:pPr>
              <w:jc w:val="center"/>
              <w:rPr>
                <w:rFonts w:ascii="Arial" w:eastAsia="Times New Roman" w:hAnsi="Arial" w:cs="Arial"/>
                <w:color w:val="000000"/>
                <w:sz w:val="18"/>
                <w:szCs w:val="18"/>
              </w:rPr>
            </w:pPr>
            <w:r w:rsidRPr="007C5459">
              <w:rPr>
                <w:rFonts w:ascii="Arial" w:eastAsia="Times New Roman" w:hAnsi="Arial" w:cs="Arial"/>
                <w:color w:val="000000"/>
                <w:sz w:val="18"/>
                <w:szCs w:val="18"/>
              </w:rPr>
              <w:t>0.21</w:t>
            </w:r>
          </w:p>
        </w:tc>
      </w:tr>
      <w:tr w:rsidR="007C5459" w:rsidRPr="007C5459" w14:paraId="08B2719A" w14:textId="77777777" w:rsidTr="00427C94">
        <w:trPr>
          <w:trHeight w:val="300"/>
          <w:jc w:val="center"/>
        </w:trPr>
        <w:tc>
          <w:tcPr>
            <w:tcW w:w="1300" w:type="dxa"/>
            <w:shd w:val="clear" w:color="auto" w:fill="auto"/>
            <w:noWrap/>
            <w:vAlign w:val="center"/>
            <w:hideMark/>
          </w:tcPr>
          <w:p w14:paraId="71042947" w14:textId="77777777" w:rsidR="007C5459" w:rsidRPr="00AE7BCA" w:rsidRDefault="007C5459" w:rsidP="007C5459">
            <w:pPr>
              <w:jc w:val="center"/>
              <w:rPr>
                <w:rFonts w:ascii="Arial" w:eastAsia="Times New Roman" w:hAnsi="Arial" w:cs="Arial"/>
                <w:b/>
                <w:color w:val="000000"/>
                <w:sz w:val="18"/>
                <w:szCs w:val="18"/>
              </w:rPr>
            </w:pPr>
            <w:r w:rsidRPr="00AE7BCA">
              <w:rPr>
                <w:rFonts w:ascii="Arial" w:eastAsia="Times New Roman" w:hAnsi="Arial" w:cs="Arial"/>
                <w:b/>
                <w:color w:val="000000"/>
                <w:sz w:val="18"/>
                <w:szCs w:val="18"/>
              </w:rPr>
              <w:t>Alabama</w:t>
            </w:r>
          </w:p>
        </w:tc>
        <w:tc>
          <w:tcPr>
            <w:tcW w:w="1456" w:type="dxa"/>
            <w:shd w:val="clear" w:color="auto" w:fill="auto"/>
            <w:noWrap/>
            <w:vAlign w:val="center"/>
            <w:hideMark/>
          </w:tcPr>
          <w:p w14:paraId="47B078E3" w14:textId="77777777" w:rsidR="007C5459" w:rsidRPr="00AE7BCA" w:rsidRDefault="007C5459" w:rsidP="007C5459">
            <w:pPr>
              <w:jc w:val="center"/>
              <w:rPr>
                <w:rFonts w:ascii="Arial" w:eastAsia="Times New Roman" w:hAnsi="Arial" w:cs="Arial"/>
                <w:b/>
                <w:color w:val="000000"/>
                <w:sz w:val="18"/>
                <w:szCs w:val="18"/>
              </w:rPr>
            </w:pPr>
            <w:r w:rsidRPr="00AE7BCA">
              <w:rPr>
                <w:rFonts w:ascii="Arial" w:eastAsia="Times New Roman" w:hAnsi="Arial" w:cs="Arial"/>
                <w:b/>
                <w:color w:val="000000"/>
                <w:sz w:val="18"/>
                <w:szCs w:val="18"/>
              </w:rPr>
              <w:t>Baldwin</w:t>
            </w:r>
          </w:p>
        </w:tc>
        <w:tc>
          <w:tcPr>
            <w:tcW w:w="1496" w:type="dxa"/>
            <w:shd w:val="clear" w:color="auto" w:fill="auto"/>
            <w:noWrap/>
            <w:vAlign w:val="center"/>
            <w:hideMark/>
          </w:tcPr>
          <w:p w14:paraId="581A6C1D" w14:textId="77777777" w:rsidR="007C5459" w:rsidRPr="007C5459" w:rsidRDefault="007C5459" w:rsidP="007C5459">
            <w:pPr>
              <w:jc w:val="center"/>
              <w:rPr>
                <w:rFonts w:ascii="Arial" w:eastAsia="Times New Roman" w:hAnsi="Arial" w:cs="Arial"/>
                <w:color w:val="000000"/>
                <w:sz w:val="18"/>
                <w:szCs w:val="18"/>
              </w:rPr>
            </w:pPr>
            <w:r w:rsidRPr="007C5459">
              <w:rPr>
                <w:rFonts w:ascii="Arial" w:eastAsia="Times New Roman" w:hAnsi="Arial" w:cs="Arial"/>
                <w:color w:val="000000"/>
                <w:sz w:val="18"/>
                <w:szCs w:val="18"/>
              </w:rPr>
              <w:t>0.39</w:t>
            </w:r>
          </w:p>
        </w:tc>
      </w:tr>
      <w:tr w:rsidR="007C5459" w:rsidRPr="007C5459" w14:paraId="1D6D37F1" w14:textId="77777777" w:rsidTr="00427C94">
        <w:trPr>
          <w:trHeight w:val="300"/>
          <w:jc w:val="center"/>
        </w:trPr>
        <w:tc>
          <w:tcPr>
            <w:tcW w:w="1300" w:type="dxa"/>
            <w:shd w:val="clear" w:color="auto" w:fill="auto"/>
            <w:noWrap/>
            <w:vAlign w:val="center"/>
            <w:hideMark/>
          </w:tcPr>
          <w:p w14:paraId="40BCC4FC" w14:textId="77777777" w:rsidR="007C5459" w:rsidRPr="00AE7BCA" w:rsidRDefault="007C5459" w:rsidP="007C5459">
            <w:pPr>
              <w:jc w:val="center"/>
              <w:rPr>
                <w:rFonts w:ascii="Arial" w:eastAsia="Times New Roman" w:hAnsi="Arial" w:cs="Arial"/>
                <w:b/>
                <w:color w:val="000000"/>
                <w:sz w:val="18"/>
                <w:szCs w:val="18"/>
              </w:rPr>
            </w:pPr>
            <w:r w:rsidRPr="00AE7BCA">
              <w:rPr>
                <w:rFonts w:ascii="Arial" w:eastAsia="Times New Roman" w:hAnsi="Arial" w:cs="Arial"/>
                <w:b/>
                <w:color w:val="000000"/>
                <w:sz w:val="18"/>
                <w:szCs w:val="18"/>
              </w:rPr>
              <w:t>Alabama</w:t>
            </w:r>
          </w:p>
        </w:tc>
        <w:tc>
          <w:tcPr>
            <w:tcW w:w="1456" w:type="dxa"/>
            <w:shd w:val="clear" w:color="auto" w:fill="auto"/>
            <w:noWrap/>
            <w:vAlign w:val="center"/>
            <w:hideMark/>
          </w:tcPr>
          <w:p w14:paraId="24DDDF8D" w14:textId="77777777" w:rsidR="007C5459" w:rsidRPr="00AE7BCA" w:rsidRDefault="007C5459" w:rsidP="007C5459">
            <w:pPr>
              <w:jc w:val="center"/>
              <w:rPr>
                <w:rFonts w:ascii="Arial" w:eastAsia="Times New Roman" w:hAnsi="Arial" w:cs="Arial"/>
                <w:b/>
                <w:color w:val="000000"/>
                <w:sz w:val="18"/>
                <w:szCs w:val="18"/>
              </w:rPr>
            </w:pPr>
            <w:r w:rsidRPr="00AE7BCA">
              <w:rPr>
                <w:rFonts w:ascii="Arial" w:eastAsia="Times New Roman" w:hAnsi="Arial" w:cs="Arial"/>
                <w:b/>
                <w:color w:val="000000"/>
                <w:sz w:val="18"/>
                <w:szCs w:val="18"/>
              </w:rPr>
              <w:t>Barbour</w:t>
            </w:r>
          </w:p>
        </w:tc>
        <w:tc>
          <w:tcPr>
            <w:tcW w:w="1496" w:type="dxa"/>
            <w:shd w:val="clear" w:color="auto" w:fill="auto"/>
            <w:noWrap/>
            <w:vAlign w:val="center"/>
            <w:hideMark/>
          </w:tcPr>
          <w:p w14:paraId="6ED5DC31" w14:textId="77777777" w:rsidR="007C5459" w:rsidRPr="007C5459" w:rsidRDefault="007C5459" w:rsidP="007C5459">
            <w:pPr>
              <w:jc w:val="center"/>
              <w:rPr>
                <w:rFonts w:ascii="Arial" w:eastAsia="Times New Roman" w:hAnsi="Arial" w:cs="Arial"/>
                <w:color w:val="000000"/>
                <w:sz w:val="18"/>
                <w:szCs w:val="18"/>
              </w:rPr>
            </w:pPr>
            <w:r w:rsidRPr="007C5459">
              <w:rPr>
                <w:rFonts w:ascii="Arial" w:eastAsia="Times New Roman" w:hAnsi="Arial" w:cs="Arial"/>
                <w:color w:val="000000"/>
                <w:sz w:val="18"/>
                <w:szCs w:val="18"/>
              </w:rPr>
              <w:t>0.60</w:t>
            </w:r>
          </w:p>
        </w:tc>
      </w:tr>
      <w:tr w:rsidR="007C5459" w:rsidRPr="007C5459" w14:paraId="10F67F83" w14:textId="77777777" w:rsidTr="00427C94">
        <w:trPr>
          <w:trHeight w:val="300"/>
          <w:jc w:val="center"/>
        </w:trPr>
        <w:tc>
          <w:tcPr>
            <w:tcW w:w="1300" w:type="dxa"/>
            <w:shd w:val="clear" w:color="auto" w:fill="auto"/>
            <w:noWrap/>
            <w:vAlign w:val="center"/>
            <w:hideMark/>
          </w:tcPr>
          <w:p w14:paraId="0207E103" w14:textId="77777777" w:rsidR="007C5459" w:rsidRPr="00AE7BCA" w:rsidRDefault="007C5459" w:rsidP="007C5459">
            <w:pPr>
              <w:jc w:val="center"/>
              <w:rPr>
                <w:rFonts w:ascii="Arial" w:eastAsia="Times New Roman" w:hAnsi="Arial" w:cs="Arial"/>
                <w:b/>
                <w:color w:val="000000"/>
                <w:sz w:val="18"/>
                <w:szCs w:val="18"/>
              </w:rPr>
            </w:pPr>
            <w:r w:rsidRPr="00AE7BCA">
              <w:rPr>
                <w:rFonts w:ascii="Arial" w:eastAsia="Times New Roman" w:hAnsi="Arial" w:cs="Arial"/>
                <w:b/>
                <w:color w:val="000000"/>
                <w:sz w:val="18"/>
                <w:szCs w:val="18"/>
              </w:rPr>
              <w:t>Alabama</w:t>
            </w:r>
          </w:p>
        </w:tc>
        <w:tc>
          <w:tcPr>
            <w:tcW w:w="1456" w:type="dxa"/>
            <w:shd w:val="clear" w:color="auto" w:fill="auto"/>
            <w:noWrap/>
            <w:vAlign w:val="center"/>
            <w:hideMark/>
          </w:tcPr>
          <w:p w14:paraId="034FD602" w14:textId="77777777" w:rsidR="007C5459" w:rsidRPr="00AE7BCA" w:rsidRDefault="007C5459" w:rsidP="007C5459">
            <w:pPr>
              <w:jc w:val="center"/>
              <w:rPr>
                <w:rFonts w:ascii="Arial" w:eastAsia="Times New Roman" w:hAnsi="Arial" w:cs="Arial"/>
                <w:b/>
                <w:color w:val="000000"/>
                <w:sz w:val="18"/>
                <w:szCs w:val="18"/>
              </w:rPr>
            </w:pPr>
            <w:r w:rsidRPr="00AE7BCA">
              <w:rPr>
                <w:rFonts w:ascii="Arial" w:eastAsia="Times New Roman" w:hAnsi="Arial" w:cs="Arial"/>
                <w:b/>
                <w:color w:val="000000"/>
                <w:sz w:val="18"/>
                <w:szCs w:val="18"/>
              </w:rPr>
              <w:t>Bibb</w:t>
            </w:r>
          </w:p>
        </w:tc>
        <w:tc>
          <w:tcPr>
            <w:tcW w:w="1496" w:type="dxa"/>
            <w:shd w:val="clear" w:color="auto" w:fill="auto"/>
            <w:noWrap/>
            <w:vAlign w:val="center"/>
            <w:hideMark/>
          </w:tcPr>
          <w:p w14:paraId="28D1BAC2" w14:textId="77777777" w:rsidR="007C5459" w:rsidRPr="007C5459" w:rsidRDefault="007C5459" w:rsidP="007C5459">
            <w:pPr>
              <w:jc w:val="center"/>
              <w:rPr>
                <w:rFonts w:ascii="Arial" w:eastAsia="Times New Roman" w:hAnsi="Arial" w:cs="Arial"/>
                <w:color w:val="000000"/>
                <w:sz w:val="18"/>
                <w:szCs w:val="18"/>
              </w:rPr>
            </w:pPr>
            <w:r w:rsidRPr="007C5459">
              <w:rPr>
                <w:rFonts w:ascii="Arial" w:eastAsia="Times New Roman" w:hAnsi="Arial" w:cs="Arial"/>
                <w:color w:val="000000"/>
                <w:sz w:val="18"/>
                <w:szCs w:val="18"/>
              </w:rPr>
              <w:t>0.01</w:t>
            </w:r>
          </w:p>
        </w:tc>
      </w:tr>
      <w:tr w:rsidR="007C5459" w:rsidRPr="007C5459" w14:paraId="32091F3C" w14:textId="77777777" w:rsidTr="00427C94">
        <w:trPr>
          <w:trHeight w:val="300"/>
          <w:jc w:val="center"/>
        </w:trPr>
        <w:tc>
          <w:tcPr>
            <w:tcW w:w="1300" w:type="dxa"/>
            <w:shd w:val="clear" w:color="auto" w:fill="auto"/>
            <w:noWrap/>
            <w:vAlign w:val="center"/>
            <w:hideMark/>
          </w:tcPr>
          <w:p w14:paraId="5B868B05" w14:textId="77777777" w:rsidR="007C5459" w:rsidRPr="00AE7BCA" w:rsidRDefault="007C5459" w:rsidP="007C5459">
            <w:pPr>
              <w:jc w:val="center"/>
              <w:rPr>
                <w:rFonts w:ascii="Arial" w:eastAsia="Times New Roman" w:hAnsi="Arial" w:cs="Arial"/>
                <w:b/>
                <w:color w:val="000000"/>
                <w:sz w:val="18"/>
                <w:szCs w:val="18"/>
              </w:rPr>
            </w:pPr>
            <w:r w:rsidRPr="00AE7BCA">
              <w:rPr>
                <w:rFonts w:ascii="Arial" w:eastAsia="Times New Roman" w:hAnsi="Arial" w:cs="Arial"/>
                <w:b/>
                <w:color w:val="000000"/>
                <w:sz w:val="18"/>
                <w:szCs w:val="18"/>
              </w:rPr>
              <w:t>Alabama</w:t>
            </w:r>
          </w:p>
        </w:tc>
        <w:tc>
          <w:tcPr>
            <w:tcW w:w="1456" w:type="dxa"/>
            <w:shd w:val="clear" w:color="auto" w:fill="auto"/>
            <w:noWrap/>
            <w:vAlign w:val="center"/>
            <w:hideMark/>
          </w:tcPr>
          <w:p w14:paraId="53903521" w14:textId="77777777" w:rsidR="007C5459" w:rsidRPr="00AE7BCA" w:rsidRDefault="007C5459" w:rsidP="007C5459">
            <w:pPr>
              <w:jc w:val="center"/>
              <w:rPr>
                <w:rFonts w:ascii="Arial" w:eastAsia="Times New Roman" w:hAnsi="Arial" w:cs="Arial"/>
                <w:b/>
                <w:color w:val="000000"/>
                <w:sz w:val="18"/>
                <w:szCs w:val="18"/>
              </w:rPr>
            </w:pPr>
            <w:r w:rsidRPr="00AE7BCA">
              <w:rPr>
                <w:rFonts w:ascii="Arial" w:eastAsia="Times New Roman" w:hAnsi="Arial" w:cs="Arial"/>
                <w:b/>
                <w:color w:val="000000"/>
                <w:sz w:val="18"/>
                <w:szCs w:val="18"/>
              </w:rPr>
              <w:t>Calhoun</w:t>
            </w:r>
          </w:p>
        </w:tc>
        <w:tc>
          <w:tcPr>
            <w:tcW w:w="1496" w:type="dxa"/>
            <w:shd w:val="clear" w:color="auto" w:fill="auto"/>
            <w:noWrap/>
            <w:vAlign w:val="center"/>
            <w:hideMark/>
          </w:tcPr>
          <w:p w14:paraId="5E53058F" w14:textId="77777777" w:rsidR="007C5459" w:rsidRPr="007C5459" w:rsidRDefault="007C5459" w:rsidP="007C5459">
            <w:pPr>
              <w:jc w:val="center"/>
              <w:rPr>
                <w:rFonts w:ascii="Arial" w:eastAsia="Times New Roman" w:hAnsi="Arial" w:cs="Arial"/>
                <w:color w:val="000000"/>
                <w:sz w:val="18"/>
                <w:szCs w:val="18"/>
              </w:rPr>
            </w:pPr>
            <w:r w:rsidRPr="007C5459">
              <w:rPr>
                <w:rFonts w:ascii="Arial" w:eastAsia="Times New Roman" w:hAnsi="Arial" w:cs="Arial"/>
                <w:color w:val="000000"/>
                <w:sz w:val="18"/>
                <w:szCs w:val="18"/>
              </w:rPr>
              <w:t>0.21</w:t>
            </w:r>
          </w:p>
        </w:tc>
      </w:tr>
      <w:tr w:rsidR="007C5459" w:rsidRPr="007C5459" w14:paraId="404810FA" w14:textId="77777777" w:rsidTr="00427C94">
        <w:trPr>
          <w:trHeight w:val="300"/>
          <w:jc w:val="center"/>
        </w:trPr>
        <w:tc>
          <w:tcPr>
            <w:tcW w:w="1300" w:type="dxa"/>
            <w:shd w:val="clear" w:color="auto" w:fill="auto"/>
            <w:noWrap/>
            <w:vAlign w:val="center"/>
          </w:tcPr>
          <w:p w14:paraId="7CA0FC26" w14:textId="27C02DD9" w:rsidR="007C5459" w:rsidRPr="00AE7BCA" w:rsidRDefault="007C5459" w:rsidP="007C5459">
            <w:pPr>
              <w:jc w:val="center"/>
              <w:rPr>
                <w:rFonts w:ascii="Arial" w:eastAsia="Times New Roman" w:hAnsi="Arial" w:cs="Arial"/>
                <w:b/>
                <w:color w:val="000000"/>
                <w:sz w:val="18"/>
                <w:szCs w:val="18"/>
              </w:rPr>
            </w:pPr>
            <w:r w:rsidRPr="00AE7BCA">
              <w:rPr>
                <w:rFonts w:ascii="Wingdings" w:hAnsi="Wingdings" w:cs="Arial"/>
                <w:b/>
                <w:sz w:val="18"/>
                <w:szCs w:val="18"/>
              </w:rPr>
              <w:t></w:t>
            </w:r>
            <w:r w:rsidRPr="00AE7BCA">
              <w:rPr>
                <w:rFonts w:ascii="Wingdings" w:hAnsi="Wingdings" w:cs="Arial"/>
                <w:b/>
                <w:sz w:val="18"/>
                <w:szCs w:val="18"/>
              </w:rPr>
              <w:t></w:t>
            </w:r>
            <w:r w:rsidRPr="00AE7BCA">
              <w:rPr>
                <w:rFonts w:ascii="Wingdings" w:hAnsi="Wingdings" w:cs="Arial"/>
                <w:b/>
                <w:sz w:val="18"/>
                <w:szCs w:val="18"/>
              </w:rPr>
              <w:t></w:t>
            </w:r>
          </w:p>
        </w:tc>
        <w:tc>
          <w:tcPr>
            <w:tcW w:w="1456" w:type="dxa"/>
            <w:shd w:val="clear" w:color="auto" w:fill="auto"/>
            <w:noWrap/>
            <w:vAlign w:val="center"/>
          </w:tcPr>
          <w:p w14:paraId="46F6353E" w14:textId="12ABAE4F" w:rsidR="007C5459" w:rsidRPr="00AE7BCA" w:rsidRDefault="007C5459" w:rsidP="007C5459">
            <w:pPr>
              <w:jc w:val="center"/>
              <w:rPr>
                <w:rFonts w:ascii="Arial" w:eastAsia="Times New Roman" w:hAnsi="Arial" w:cs="Arial"/>
                <w:b/>
                <w:color w:val="000000"/>
                <w:sz w:val="18"/>
                <w:szCs w:val="18"/>
              </w:rPr>
            </w:pPr>
            <w:r w:rsidRPr="00AE7BCA">
              <w:rPr>
                <w:rFonts w:ascii="Wingdings" w:hAnsi="Wingdings" w:cs="Arial"/>
                <w:b/>
                <w:sz w:val="18"/>
                <w:szCs w:val="18"/>
              </w:rPr>
              <w:t></w:t>
            </w:r>
            <w:r w:rsidRPr="00AE7BCA">
              <w:rPr>
                <w:rFonts w:ascii="Wingdings" w:hAnsi="Wingdings" w:cs="Arial"/>
                <w:b/>
                <w:sz w:val="18"/>
                <w:szCs w:val="18"/>
              </w:rPr>
              <w:t></w:t>
            </w:r>
            <w:r w:rsidRPr="00AE7BCA">
              <w:rPr>
                <w:rFonts w:ascii="Wingdings" w:hAnsi="Wingdings" w:cs="Arial"/>
                <w:b/>
                <w:sz w:val="18"/>
                <w:szCs w:val="18"/>
              </w:rPr>
              <w:t></w:t>
            </w:r>
          </w:p>
        </w:tc>
        <w:tc>
          <w:tcPr>
            <w:tcW w:w="1496" w:type="dxa"/>
            <w:shd w:val="clear" w:color="auto" w:fill="auto"/>
            <w:noWrap/>
            <w:vAlign w:val="center"/>
          </w:tcPr>
          <w:p w14:paraId="6E6553AD" w14:textId="5F4AC352" w:rsidR="007C5459" w:rsidRPr="007C5459" w:rsidRDefault="007C5459" w:rsidP="007C5459">
            <w:pPr>
              <w:jc w:val="center"/>
              <w:rPr>
                <w:rFonts w:ascii="Arial" w:eastAsia="Times New Roman" w:hAnsi="Arial" w:cs="Arial"/>
                <w:color w:val="000000"/>
                <w:sz w:val="18"/>
                <w:szCs w:val="18"/>
              </w:rPr>
            </w:pPr>
            <w:r>
              <w:rPr>
                <w:rFonts w:ascii="Wingdings" w:hAnsi="Wingdings" w:cs="Arial"/>
                <w:b/>
                <w:sz w:val="18"/>
                <w:szCs w:val="18"/>
              </w:rPr>
              <w:t></w:t>
            </w:r>
            <w:r>
              <w:rPr>
                <w:rFonts w:ascii="Wingdings" w:hAnsi="Wingdings" w:cs="Arial"/>
                <w:b/>
                <w:sz w:val="18"/>
                <w:szCs w:val="18"/>
              </w:rPr>
              <w:t></w:t>
            </w:r>
            <w:r>
              <w:rPr>
                <w:rFonts w:ascii="Wingdings" w:hAnsi="Wingdings" w:cs="Arial"/>
                <w:b/>
                <w:sz w:val="18"/>
                <w:szCs w:val="18"/>
              </w:rPr>
              <w:t></w:t>
            </w:r>
          </w:p>
        </w:tc>
      </w:tr>
      <w:tr w:rsidR="007C5459" w:rsidRPr="007C5459" w14:paraId="6F2CF82D" w14:textId="77777777" w:rsidTr="00427C94">
        <w:trPr>
          <w:trHeight w:val="300"/>
          <w:jc w:val="center"/>
        </w:trPr>
        <w:tc>
          <w:tcPr>
            <w:tcW w:w="1300" w:type="dxa"/>
            <w:shd w:val="clear" w:color="auto" w:fill="auto"/>
            <w:noWrap/>
            <w:vAlign w:val="center"/>
          </w:tcPr>
          <w:p w14:paraId="30164C3C" w14:textId="2C0788DC" w:rsidR="007C5459" w:rsidRPr="00AE7BCA" w:rsidRDefault="007C5459" w:rsidP="007C5459">
            <w:pPr>
              <w:jc w:val="center"/>
              <w:rPr>
                <w:rFonts w:ascii="Arial" w:hAnsi="Arial" w:cs="Arial"/>
                <w:b/>
                <w:sz w:val="18"/>
                <w:szCs w:val="18"/>
              </w:rPr>
            </w:pPr>
            <w:r w:rsidRPr="00AE7BCA">
              <w:rPr>
                <w:rFonts w:ascii="Arial" w:hAnsi="Arial" w:cs="Arial"/>
                <w:b/>
                <w:sz w:val="18"/>
                <w:szCs w:val="18"/>
              </w:rPr>
              <w:t>Colorado</w:t>
            </w:r>
          </w:p>
        </w:tc>
        <w:tc>
          <w:tcPr>
            <w:tcW w:w="1456" w:type="dxa"/>
            <w:shd w:val="clear" w:color="auto" w:fill="auto"/>
            <w:noWrap/>
            <w:vAlign w:val="center"/>
          </w:tcPr>
          <w:p w14:paraId="62776E9D" w14:textId="0A7E0BF4" w:rsidR="007C5459" w:rsidRPr="00AE7BCA" w:rsidRDefault="00C95F10" w:rsidP="007C5459">
            <w:pPr>
              <w:jc w:val="center"/>
              <w:rPr>
                <w:rFonts w:ascii="Arial" w:hAnsi="Arial" w:cs="Arial"/>
                <w:b/>
                <w:sz w:val="18"/>
                <w:szCs w:val="18"/>
              </w:rPr>
            </w:pPr>
            <w:r>
              <w:rPr>
                <w:rFonts w:ascii="Arial" w:hAnsi="Arial" w:cs="Arial"/>
                <w:b/>
                <w:sz w:val="18"/>
                <w:szCs w:val="18"/>
              </w:rPr>
              <w:t>Adams</w:t>
            </w:r>
          </w:p>
        </w:tc>
        <w:tc>
          <w:tcPr>
            <w:tcW w:w="1496" w:type="dxa"/>
            <w:shd w:val="clear" w:color="auto" w:fill="auto"/>
            <w:noWrap/>
            <w:vAlign w:val="center"/>
          </w:tcPr>
          <w:p w14:paraId="1ADB6E8E" w14:textId="180B26ED" w:rsidR="007C5459" w:rsidRPr="007C5459" w:rsidRDefault="007C5459" w:rsidP="007C5459">
            <w:pPr>
              <w:jc w:val="center"/>
              <w:rPr>
                <w:rFonts w:ascii="Arial" w:hAnsi="Arial" w:cs="Arial"/>
                <w:sz w:val="18"/>
                <w:szCs w:val="18"/>
              </w:rPr>
            </w:pPr>
            <w:r w:rsidRPr="007C5459">
              <w:rPr>
                <w:rFonts w:ascii="Arial" w:hAnsi="Arial" w:cs="Arial"/>
                <w:sz w:val="18"/>
                <w:szCs w:val="18"/>
              </w:rPr>
              <w:t>0.01</w:t>
            </w:r>
          </w:p>
        </w:tc>
      </w:tr>
      <w:tr w:rsidR="007C5459" w:rsidRPr="007C5459" w14:paraId="652F0779" w14:textId="77777777" w:rsidTr="00427C94">
        <w:trPr>
          <w:trHeight w:val="300"/>
          <w:jc w:val="center"/>
        </w:trPr>
        <w:tc>
          <w:tcPr>
            <w:tcW w:w="1300" w:type="dxa"/>
            <w:shd w:val="clear" w:color="auto" w:fill="auto"/>
            <w:noWrap/>
            <w:vAlign w:val="center"/>
          </w:tcPr>
          <w:p w14:paraId="7D9E6750" w14:textId="353DFFCE" w:rsidR="007C5459" w:rsidRPr="00AE7BCA" w:rsidRDefault="007C5459" w:rsidP="007C5459">
            <w:pPr>
              <w:jc w:val="center"/>
              <w:rPr>
                <w:rFonts w:ascii="Arial" w:hAnsi="Arial" w:cs="Arial"/>
                <w:b/>
                <w:sz w:val="18"/>
                <w:szCs w:val="18"/>
              </w:rPr>
            </w:pPr>
            <w:r w:rsidRPr="00AE7BCA">
              <w:rPr>
                <w:rFonts w:ascii="Arial" w:hAnsi="Arial" w:cs="Arial"/>
                <w:b/>
                <w:sz w:val="18"/>
                <w:szCs w:val="18"/>
              </w:rPr>
              <w:t>Colorado</w:t>
            </w:r>
          </w:p>
        </w:tc>
        <w:tc>
          <w:tcPr>
            <w:tcW w:w="1456" w:type="dxa"/>
            <w:shd w:val="clear" w:color="auto" w:fill="auto"/>
            <w:noWrap/>
            <w:vAlign w:val="center"/>
          </w:tcPr>
          <w:p w14:paraId="40EE5F20" w14:textId="46CE551F" w:rsidR="007C5459" w:rsidRPr="00AE7BCA" w:rsidRDefault="007C5459" w:rsidP="007C5459">
            <w:pPr>
              <w:jc w:val="center"/>
              <w:rPr>
                <w:rFonts w:ascii="Arial" w:hAnsi="Arial" w:cs="Arial"/>
                <w:b/>
                <w:sz w:val="18"/>
                <w:szCs w:val="18"/>
              </w:rPr>
            </w:pPr>
            <w:r w:rsidRPr="00AE7BCA">
              <w:rPr>
                <w:rFonts w:ascii="Arial" w:hAnsi="Arial" w:cs="Arial"/>
                <w:b/>
                <w:sz w:val="18"/>
                <w:szCs w:val="18"/>
              </w:rPr>
              <w:t>Arapahoe</w:t>
            </w:r>
          </w:p>
        </w:tc>
        <w:tc>
          <w:tcPr>
            <w:tcW w:w="1496" w:type="dxa"/>
            <w:shd w:val="clear" w:color="auto" w:fill="auto"/>
            <w:noWrap/>
            <w:vAlign w:val="center"/>
          </w:tcPr>
          <w:p w14:paraId="13C41A3B" w14:textId="1574E5A9" w:rsidR="007C5459" w:rsidRPr="007C5459" w:rsidRDefault="007C5459" w:rsidP="007C5459">
            <w:pPr>
              <w:jc w:val="center"/>
              <w:rPr>
                <w:rFonts w:ascii="Arial" w:hAnsi="Arial" w:cs="Arial"/>
                <w:sz w:val="18"/>
                <w:szCs w:val="18"/>
              </w:rPr>
            </w:pPr>
            <w:r w:rsidRPr="007C5459">
              <w:rPr>
                <w:rFonts w:ascii="Arial" w:hAnsi="Arial" w:cs="Arial"/>
                <w:sz w:val="18"/>
                <w:szCs w:val="18"/>
              </w:rPr>
              <w:t>0.63</w:t>
            </w:r>
          </w:p>
        </w:tc>
      </w:tr>
      <w:tr w:rsidR="007C5459" w:rsidRPr="007C5459" w14:paraId="474561F4" w14:textId="77777777" w:rsidTr="00427C94">
        <w:trPr>
          <w:trHeight w:val="300"/>
          <w:jc w:val="center"/>
        </w:trPr>
        <w:tc>
          <w:tcPr>
            <w:tcW w:w="1300" w:type="dxa"/>
            <w:shd w:val="clear" w:color="auto" w:fill="auto"/>
            <w:noWrap/>
            <w:vAlign w:val="center"/>
          </w:tcPr>
          <w:p w14:paraId="33A92706" w14:textId="61604F48" w:rsidR="007C5459" w:rsidRPr="00AE7BCA" w:rsidRDefault="007C5459" w:rsidP="007C5459">
            <w:pPr>
              <w:jc w:val="center"/>
              <w:rPr>
                <w:rFonts w:ascii="Arial" w:hAnsi="Arial" w:cs="Arial"/>
                <w:b/>
                <w:sz w:val="18"/>
                <w:szCs w:val="18"/>
              </w:rPr>
            </w:pPr>
            <w:r w:rsidRPr="00AE7BCA">
              <w:rPr>
                <w:rFonts w:ascii="Arial" w:hAnsi="Arial" w:cs="Arial"/>
                <w:b/>
                <w:sz w:val="18"/>
                <w:szCs w:val="18"/>
              </w:rPr>
              <w:t>Colorado</w:t>
            </w:r>
          </w:p>
        </w:tc>
        <w:tc>
          <w:tcPr>
            <w:tcW w:w="1456" w:type="dxa"/>
            <w:shd w:val="clear" w:color="auto" w:fill="auto"/>
            <w:noWrap/>
            <w:vAlign w:val="center"/>
          </w:tcPr>
          <w:p w14:paraId="7B4AEE63" w14:textId="74A4698A" w:rsidR="007C5459" w:rsidRPr="00AE7BCA" w:rsidRDefault="007C5459" w:rsidP="007C5459">
            <w:pPr>
              <w:jc w:val="center"/>
              <w:rPr>
                <w:rFonts w:ascii="Arial" w:hAnsi="Arial" w:cs="Arial"/>
                <w:b/>
                <w:sz w:val="18"/>
                <w:szCs w:val="18"/>
              </w:rPr>
            </w:pPr>
            <w:r w:rsidRPr="00AE7BCA">
              <w:rPr>
                <w:rFonts w:ascii="Arial" w:hAnsi="Arial" w:cs="Arial"/>
                <w:b/>
                <w:sz w:val="18"/>
                <w:szCs w:val="18"/>
              </w:rPr>
              <w:t>Boulder</w:t>
            </w:r>
          </w:p>
        </w:tc>
        <w:tc>
          <w:tcPr>
            <w:tcW w:w="1496" w:type="dxa"/>
            <w:shd w:val="clear" w:color="auto" w:fill="auto"/>
            <w:noWrap/>
            <w:vAlign w:val="center"/>
          </w:tcPr>
          <w:p w14:paraId="04A84AAC" w14:textId="409B3A6B" w:rsidR="007C5459" w:rsidRPr="007C5459" w:rsidRDefault="007C5459" w:rsidP="007C5459">
            <w:pPr>
              <w:jc w:val="center"/>
              <w:rPr>
                <w:rFonts w:ascii="Arial" w:hAnsi="Arial" w:cs="Arial"/>
                <w:sz w:val="18"/>
                <w:szCs w:val="18"/>
              </w:rPr>
            </w:pPr>
            <w:r w:rsidRPr="007C5459">
              <w:rPr>
                <w:rFonts w:ascii="Arial" w:hAnsi="Arial" w:cs="Arial"/>
                <w:sz w:val="18"/>
                <w:szCs w:val="18"/>
              </w:rPr>
              <w:t>0.83</w:t>
            </w:r>
          </w:p>
        </w:tc>
      </w:tr>
      <w:tr w:rsidR="007C5459" w:rsidRPr="007C5459" w14:paraId="6FE7AC6E" w14:textId="77777777" w:rsidTr="00427C94">
        <w:trPr>
          <w:trHeight w:val="300"/>
          <w:jc w:val="center"/>
        </w:trPr>
        <w:tc>
          <w:tcPr>
            <w:tcW w:w="1300" w:type="dxa"/>
            <w:shd w:val="clear" w:color="auto" w:fill="auto"/>
            <w:noWrap/>
            <w:vAlign w:val="center"/>
          </w:tcPr>
          <w:p w14:paraId="53F7AA0D" w14:textId="48C4EA7D" w:rsidR="007C5459" w:rsidRPr="00AE7BCA" w:rsidRDefault="007C5459" w:rsidP="007C5459">
            <w:pPr>
              <w:jc w:val="center"/>
              <w:rPr>
                <w:rFonts w:ascii="Arial" w:hAnsi="Arial" w:cs="Arial"/>
                <w:b/>
                <w:sz w:val="18"/>
                <w:szCs w:val="18"/>
              </w:rPr>
            </w:pPr>
            <w:r w:rsidRPr="00AE7BCA">
              <w:rPr>
                <w:rFonts w:ascii="Arial" w:hAnsi="Arial" w:cs="Arial"/>
                <w:b/>
                <w:sz w:val="18"/>
                <w:szCs w:val="18"/>
              </w:rPr>
              <w:t>Colorado</w:t>
            </w:r>
          </w:p>
        </w:tc>
        <w:tc>
          <w:tcPr>
            <w:tcW w:w="1456" w:type="dxa"/>
            <w:shd w:val="clear" w:color="auto" w:fill="auto"/>
            <w:noWrap/>
            <w:vAlign w:val="center"/>
          </w:tcPr>
          <w:p w14:paraId="5F43A843" w14:textId="6271C6D2" w:rsidR="007C5459" w:rsidRPr="00AE7BCA" w:rsidRDefault="007C5459" w:rsidP="007C5459">
            <w:pPr>
              <w:jc w:val="center"/>
              <w:rPr>
                <w:rFonts w:ascii="Arial" w:hAnsi="Arial" w:cs="Arial"/>
                <w:b/>
                <w:sz w:val="18"/>
                <w:szCs w:val="18"/>
              </w:rPr>
            </w:pPr>
            <w:r w:rsidRPr="00AE7BCA">
              <w:rPr>
                <w:rFonts w:ascii="Arial" w:hAnsi="Arial" w:cs="Arial"/>
                <w:b/>
                <w:sz w:val="18"/>
                <w:szCs w:val="18"/>
              </w:rPr>
              <w:t>Broomfield</w:t>
            </w:r>
          </w:p>
        </w:tc>
        <w:tc>
          <w:tcPr>
            <w:tcW w:w="1496" w:type="dxa"/>
            <w:shd w:val="clear" w:color="auto" w:fill="auto"/>
            <w:noWrap/>
            <w:vAlign w:val="center"/>
          </w:tcPr>
          <w:p w14:paraId="419AEFA0" w14:textId="1E1CF34A" w:rsidR="007C5459" w:rsidRPr="007C5459" w:rsidRDefault="007C5459" w:rsidP="007C5459">
            <w:pPr>
              <w:jc w:val="center"/>
              <w:rPr>
                <w:rFonts w:ascii="Arial" w:hAnsi="Arial" w:cs="Arial"/>
                <w:sz w:val="18"/>
                <w:szCs w:val="18"/>
              </w:rPr>
            </w:pPr>
            <w:r w:rsidRPr="007C5459">
              <w:rPr>
                <w:rFonts w:ascii="Arial" w:hAnsi="Arial" w:cs="Arial"/>
                <w:sz w:val="18"/>
                <w:szCs w:val="18"/>
              </w:rPr>
              <w:t>0.01</w:t>
            </w:r>
          </w:p>
        </w:tc>
      </w:tr>
      <w:tr w:rsidR="007C5459" w:rsidRPr="007C5459" w14:paraId="3ED5AB09" w14:textId="77777777" w:rsidTr="00427C94">
        <w:trPr>
          <w:trHeight w:val="300"/>
          <w:jc w:val="center"/>
        </w:trPr>
        <w:tc>
          <w:tcPr>
            <w:tcW w:w="1300" w:type="dxa"/>
            <w:shd w:val="clear" w:color="auto" w:fill="auto"/>
            <w:noWrap/>
            <w:vAlign w:val="center"/>
          </w:tcPr>
          <w:p w14:paraId="0524D32E" w14:textId="45649933" w:rsidR="007C5459" w:rsidRPr="00AE7BCA" w:rsidRDefault="007C5459" w:rsidP="007C5459">
            <w:pPr>
              <w:jc w:val="center"/>
              <w:rPr>
                <w:rFonts w:ascii="Arial" w:hAnsi="Arial" w:cs="Arial"/>
                <w:b/>
                <w:sz w:val="18"/>
                <w:szCs w:val="18"/>
              </w:rPr>
            </w:pPr>
            <w:r w:rsidRPr="00AE7BCA">
              <w:rPr>
                <w:rFonts w:ascii="Arial" w:hAnsi="Arial" w:cs="Arial"/>
                <w:b/>
                <w:sz w:val="18"/>
                <w:szCs w:val="18"/>
              </w:rPr>
              <w:t>Colorado</w:t>
            </w:r>
          </w:p>
        </w:tc>
        <w:tc>
          <w:tcPr>
            <w:tcW w:w="1456" w:type="dxa"/>
            <w:shd w:val="clear" w:color="auto" w:fill="auto"/>
            <w:noWrap/>
            <w:vAlign w:val="center"/>
          </w:tcPr>
          <w:p w14:paraId="70C6500B" w14:textId="41E55183" w:rsidR="007C5459" w:rsidRPr="00AE7BCA" w:rsidRDefault="007C5459" w:rsidP="007C5459">
            <w:pPr>
              <w:jc w:val="center"/>
              <w:rPr>
                <w:rFonts w:ascii="Arial" w:hAnsi="Arial" w:cs="Arial"/>
                <w:b/>
                <w:sz w:val="18"/>
                <w:szCs w:val="18"/>
              </w:rPr>
            </w:pPr>
            <w:r w:rsidRPr="00AE7BCA">
              <w:rPr>
                <w:rFonts w:ascii="Arial" w:hAnsi="Arial" w:cs="Arial"/>
                <w:b/>
                <w:sz w:val="18"/>
                <w:szCs w:val="18"/>
              </w:rPr>
              <w:t>Denver</w:t>
            </w:r>
          </w:p>
        </w:tc>
        <w:tc>
          <w:tcPr>
            <w:tcW w:w="1496" w:type="dxa"/>
            <w:shd w:val="clear" w:color="auto" w:fill="auto"/>
            <w:noWrap/>
            <w:vAlign w:val="center"/>
          </w:tcPr>
          <w:p w14:paraId="02F9A904" w14:textId="57AE1E3F" w:rsidR="007C5459" w:rsidRPr="007C5459" w:rsidRDefault="007C5459" w:rsidP="007C5459">
            <w:pPr>
              <w:jc w:val="center"/>
              <w:rPr>
                <w:rFonts w:ascii="Arial" w:hAnsi="Arial" w:cs="Arial"/>
                <w:sz w:val="18"/>
                <w:szCs w:val="18"/>
              </w:rPr>
            </w:pPr>
            <w:r w:rsidRPr="007C5459">
              <w:rPr>
                <w:rFonts w:ascii="Arial" w:hAnsi="Arial" w:cs="Arial"/>
                <w:sz w:val="18"/>
                <w:szCs w:val="18"/>
              </w:rPr>
              <w:t>0.46</w:t>
            </w:r>
          </w:p>
        </w:tc>
      </w:tr>
    </w:tbl>
    <w:p w14:paraId="1E8CB5E7" w14:textId="77777777" w:rsidR="00863E59" w:rsidRDefault="00863E59" w:rsidP="0005411D">
      <w:pPr>
        <w:rPr>
          <w:rFonts w:cs="Times New Roman"/>
        </w:rPr>
      </w:pPr>
    </w:p>
    <w:p w14:paraId="7F35104F" w14:textId="20E51E8E" w:rsidR="00BE3C0C" w:rsidRDefault="00BE3C0C" w:rsidP="0005411D">
      <w:pPr>
        <w:rPr>
          <w:rFonts w:cs="Times New Roman"/>
        </w:rPr>
      </w:pPr>
      <w:r>
        <w:rPr>
          <w:rFonts w:cs="Times New Roman"/>
          <w:b/>
        </w:rPr>
        <w:t>Agricultural Sector</w:t>
      </w:r>
    </w:p>
    <w:p w14:paraId="10D1EEC7" w14:textId="3704D1B9" w:rsidR="00BE3C0C" w:rsidRDefault="003A092E" w:rsidP="0005411D">
      <w:pPr>
        <w:rPr>
          <w:rFonts w:cs="Times New Roman"/>
        </w:rPr>
      </w:pPr>
      <w:r>
        <w:rPr>
          <w:rFonts w:cs="Times New Roman"/>
        </w:rPr>
        <w:t xml:space="preserve">For the agricultural sector analysis, no </w:t>
      </w:r>
      <w:r w:rsidR="003B1414">
        <w:rPr>
          <w:rFonts w:cs="Times New Roman"/>
        </w:rPr>
        <w:t>source was identified that report</w:t>
      </w:r>
      <w:r w:rsidR="00C45B7D">
        <w:rPr>
          <w:rFonts w:cs="Times New Roman"/>
        </w:rPr>
        <w:t>s</w:t>
      </w:r>
      <w:r w:rsidR="003B1414">
        <w:rPr>
          <w:rFonts w:cs="Times New Roman"/>
        </w:rPr>
        <w:t xml:space="preserve"> </w:t>
      </w:r>
      <w:r w:rsidR="00C45B7D">
        <w:rPr>
          <w:rFonts w:cs="Times New Roman"/>
        </w:rPr>
        <w:t xml:space="preserve">agricultural </w:t>
      </w:r>
      <w:r w:rsidR="003B1414">
        <w:rPr>
          <w:rFonts w:cs="Times New Roman"/>
        </w:rPr>
        <w:t xml:space="preserve">energy consumption directly. Instead, data on farm production expenditures </w:t>
      </w:r>
      <w:r w:rsidR="00072E2C">
        <w:rPr>
          <w:rFonts w:cs="Times New Roman"/>
        </w:rPr>
        <w:t xml:space="preserve">were </w:t>
      </w:r>
      <w:r w:rsidR="00C45B7D">
        <w:rPr>
          <w:rFonts w:cs="Times New Roman"/>
        </w:rPr>
        <w:t>obtained</w:t>
      </w:r>
      <w:r w:rsidR="003B1414">
        <w:rPr>
          <w:rFonts w:cs="Times New Roman"/>
        </w:rPr>
        <w:t xml:space="preserve">, with expenses for fuels by type reported at the regional level. </w:t>
      </w:r>
      <w:r w:rsidR="003619D5">
        <w:rPr>
          <w:rFonts w:cs="Times New Roman"/>
        </w:rPr>
        <w:t>These data were combined with price data</w:t>
      </w:r>
      <w:r w:rsidR="00320C73">
        <w:rPr>
          <w:rFonts w:cs="Times New Roman"/>
        </w:rPr>
        <w:t xml:space="preserve"> (</w:t>
      </w:r>
      <w:r w:rsidR="00C84D26">
        <w:rPr>
          <w:rFonts w:cs="Times New Roman"/>
        </w:rPr>
        <w:t>EIA 2016a; 2016b; 2016c; 2016d</w:t>
      </w:r>
      <w:r w:rsidR="00320C73">
        <w:rPr>
          <w:rFonts w:cs="Times New Roman"/>
        </w:rPr>
        <w:t>)</w:t>
      </w:r>
      <w:r w:rsidR="003619D5">
        <w:rPr>
          <w:rFonts w:cs="Times New Roman"/>
        </w:rPr>
        <w:t xml:space="preserve"> and energy content values</w:t>
      </w:r>
      <w:r w:rsidR="00320C73">
        <w:rPr>
          <w:rFonts w:cs="Times New Roman"/>
        </w:rPr>
        <w:t xml:space="preserve"> (</w:t>
      </w:r>
      <w:r w:rsidR="00C84D26">
        <w:rPr>
          <w:rFonts w:cs="Times New Roman"/>
        </w:rPr>
        <w:t>DOE 2014</w:t>
      </w:r>
      <w:r w:rsidR="00320C73">
        <w:rPr>
          <w:rFonts w:cs="Times New Roman"/>
        </w:rPr>
        <w:t>)</w:t>
      </w:r>
      <w:r w:rsidR="003619D5">
        <w:rPr>
          <w:rFonts w:cs="Times New Roman"/>
        </w:rPr>
        <w:t xml:space="preserve"> for each fuel type, which included gasoline, diesel, LP gas (propane), electricity, and “other” fuels (natural gas, coal, fuel oil, kerosene, wood, etc.). This resulted in an estimation of energy consumption by fuel type for each farm</w:t>
      </w:r>
      <w:r w:rsidR="00713EAA">
        <w:rPr>
          <w:rFonts w:cs="Times New Roman"/>
        </w:rPr>
        <w:t xml:space="preserve"> production region. </w:t>
      </w:r>
      <w:r w:rsidR="00072E2C">
        <w:rPr>
          <w:rFonts w:cs="Times New Roman"/>
        </w:rPr>
        <w:t>W</w:t>
      </w:r>
      <w:r w:rsidR="00DD04FA">
        <w:rPr>
          <w:rFonts w:cs="Times New Roman"/>
        </w:rPr>
        <w:t xml:space="preserve">e assumed that 100% of the expenditures in the “other” fuels category were for natural gas due to the lack of clarification as to the proportion that each “other” fuel represented. </w:t>
      </w:r>
      <w:r w:rsidR="00713EAA">
        <w:rPr>
          <w:rFonts w:cs="Times New Roman"/>
        </w:rPr>
        <w:t>Equation 4 illustrates the procedure used to estimate total energy consumption</w:t>
      </w:r>
      <w:r w:rsidR="00072E2C">
        <w:rPr>
          <w:rFonts w:cs="Times New Roman"/>
        </w:rPr>
        <w:t>, which</w:t>
      </w:r>
      <w:r w:rsidR="00713EAA">
        <w:rPr>
          <w:rFonts w:cs="Times New Roman"/>
        </w:rPr>
        <w:t xml:space="preserve"> was applied to all fuel types</w:t>
      </w:r>
      <w:r w:rsidR="001A09D6">
        <w:rPr>
          <w:rFonts w:cs="Times New Roman"/>
        </w:rPr>
        <w:t xml:space="preserve"> in each region</w:t>
      </w:r>
      <w:r w:rsidR="00713EAA">
        <w:rPr>
          <w:rFonts w:cs="Times New Roman"/>
        </w:rPr>
        <w:t xml:space="preserve">, </w:t>
      </w:r>
      <w:r w:rsidR="00C45B7D">
        <w:rPr>
          <w:rFonts w:cs="Times New Roman"/>
        </w:rPr>
        <w:t>with values then</w:t>
      </w:r>
      <w:r w:rsidR="00713EAA">
        <w:rPr>
          <w:rFonts w:cs="Times New Roman"/>
        </w:rPr>
        <w:t xml:space="preserve"> summed for total consumption</w:t>
      </w:r>
      <w:r w:rsidR="001A09D6">
        <w:rPr>
          <w:rFonts w:cs="Times New Roman"/>
        </w:rPr>
        <w:t xml:space="preserve"> in that region</w:t>
      </w:r>
      <w:r w:rsidR="00713EAA">
        <w:rPr>
          <w:rFonts w:cs="Times New Roman"/>
        </w:rPr>
        <w:t>.</w:t>
      </w:r>
    </w:p>
    <w:p w14:paraId="2AABC956" w14:textId="77777777" w:rsidR="00713EAA" w:rsidRDefault="00713EAA" w:rsidP="0005411D">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844"/>
        <w:gridCol w:w="496"/>
      </w:tblGrid>
      <w:tr w:rsidR="00713EAA" w:rsidRPr="00915A5B" w14:paraId="47A7D58F" w14:textId="77777777" w:rsidTr="00427C94">
        <w:tc>
          <w:tcPr>
            <w:tcW w:w="236" w:type="dxa"/>
            <w:vAlign w:val="center"/>
          </w:tcPr>
          <w:p w14:paraId="282A2AA9" w14:textId="77777777" w:rsidR="00713EAA" w:rsidRPr="00915A5B" w:rsidRDefault="00713EAA" w:rsidP="001A09D6">
            <w:pPr>
              <w:jc w:val="center"/>
              <w:rPr>
                <w:sz w:val="20"/>
              </w:rPr>
            </w:pPr>
          </w:p>
        </w:tc>
        <w:tc>
          <w:tcPr>
            <w:tcW w:w="8844" w:type="dxa"/>
            <w:vAlign w:val="center"/>
          </w:tcPr>
          <w:p w14:paraId="74B350BC" w14:textId="4E87EE48" w:rsidR="00713EAA" w:rsidRPr="00915A5B" w:rsidRDefault="001A09D6" w:rsidP="00DF7D20">
            <w:pPr>
              <w:jc w:val="center"/>
              <w:rPr>
                <w:sz w:val="20"/>
              </w:rPr>
            </w:pPr>
            <m:oMathPara>
              <m:oMath>
                <m:r>
                  <w:rPr>
                    <w:rFonts w:ascii="Cambria Math" w:hAnsi="Cambria Math"/>
                    <w:sz w:val="20"/>
                  </w:rPr>
                  <m:t xml:space="preserve">Fuel Expenditure </m:t>
                </m:r>
                <m:d>
                  <m:dPr>
                    <m:ctrlPr>
                      <w:rPr>
                        <w:rFonts w:ascii="Cambria Math" w:hAnsi="Cambria Math"/>
                        <w:i/>
                        <w:sz w:val="20"/>
                      </w:rPr>
                    </m:ctrlPr>
                  </m:dPr>
                  <m:e>
                    <m:r>
                      <w:rPr>
                        <w:rFonts w:ascii="Cambria Math" w:hAnsi="Cambria Math"/>
                        <w:sz w:val="20"/>
                      </w:rPr>
                      <m:t>$</m:t>
                    </m:r>
                  </m:e>
                </m:d>
                <m:r>
                  <w:rPr>
                    <w:rFonts w:ascii="Cambria Math" w:hAnsi="Cambria Math"/>
                    <w:sz w:val="20"/>
                  </w:rPr>
                  <m:t xml:space="preserve">*Fuel Price </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volume</m:t>
                        </m:r>
                      </m:num>
                      <m:den>
                        <m:r>
                          <w:rPr>
                            <w:rFonts w:ascii="Cambria Math" w:hAnsi="Cambria Math"/>
                            <w:sz w:val="20"/>
                          </w:rPr>
                          <m:t>$</m:t>
                        </m:r>
                      </m:den>
                    </m:f>
                  </m:e>
                </m:d>
                <m:r>
                  <w:rPr>
                    <w:rFonts w:ascii="Cambria Math" w:hAnsi="Cambria Math"/>
                    <w:sz w:val="20"/>
                  </w:rPr>
                  <m:t xml:space="preserve">*Energy Content </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BTU</m:t>
                        </m:r>
                      </m:num>
                      <m:den>
                        <m:r>
                          <w:rPr>
                            <w:rFonts w:ascii="Cambria Math" w:hAnsi="Cambria Math"/>
                            <w:sz w:val="20"/>
                          </w:rPr>
                          <m:t>volume</m:t>
                        </m:r>
                      </m:den>
                    </m:f>
                  </m:e>
                </m:d>
                <m:r>
                  <w:rPr>
                    <w:rFonts w:ascii="Cambria Math" w:hAnsi="Cambria Math"/>
                    <w:sz w:val="20"/>
                  </w:rPr>
                  <m:t>=Consumption (BTU)</m:t>
                </m:r>
              </m:oMath>
            </m:oMathPara>
          </w:p>
        </w:tc>
        <w:tc>
          <w:tcPr>
            <w:tcW w:w="496" w:type="dxa"/>
            <w:vAlign w:val="center"/>
          </w:tcPr>
          <w:p w14:paraId="1E2D371B" w14:textId="08ED8EB9" w:rsidR="00713EAA" w:rsidRPr="00915A5B" w:rsidRDefault="00713EAA" w:rsidP="001A09D6">
            <w:pPr>
              <w:jc w:val="center"/>
              <w:rPr>
                <w:sz w:val="20"/>
              </w:rPr>
            </w:pPr>
            <w:r w:rsidRPr="00297D42">
              <w:t>(4)</w:t>
            </w:r>
          </w:p>
        </w:tc>
      </w:tr>
    </w:tbl>
    <w:p w14:paraId="0B932CCB" w14:textId="77777777" w:rsidR="00713EAA" w:rsidRDefault="00713EAA" w:rsidP="0005411D">
      <w:pPr>
        <w:rPr>
          <w:rFonts w:cs="Times New Roman"/>
        </w:rPr>
      </w:pPr>
    </w:p>
    <w:p w14:paraId="4331A27C" w14:textId="09D21226" w:rsidR="009847C5" w:rsidRDefault="00BE5809" w:rsidP="0005411D">
      <w:pPr>
        <w:rPr>
          <w:rFonts w:cs="Times New Roman"/>
        </w:rPr>
      </w:pPr>
      <w:r>
        <w:rPr>
          <w:rFonts w:cs="Times New Roman"/>
        </w:rPr>
        <w:t xml:space="preserve">This procedure estimated total energy consumption at the regional level. The USDA defines five regions, each containing between </w:t>
      </w:r>
      <w:r w:rsidR="00424438">
        <w:rPr>
          <w:rFonts w:cs="Times New Roman"/>
        </w:rPr>
        <w:t xml:space="preserve">6 and </w:t>
      </w:r>
      <w:r>
        <w:rPr>
          <w:rFonts w:cs="Times New Roman"/>
        </w:rPr>
        <w:t>16</w:t>
      </w:r>
      <w:r w:rsidR="00424438">
        <w:rPr>
          <w:rFonts w:cs="Times New Roman"/>
        </w:rPr>
        <w:t xml:space="preserve"> states. While the 2012 USDA Farm Production Expenditures report (USDA 201</w:t>
      </w:r>
      <w:r w:rsidR="0080138C">
        <w:rPr>
          <w:rFonts w:cs="Times New Roman"/>
        </w:rPr>
        <w:t>3</w:t>
      </w:r>
      <w:r w:rsidR="00424438">
        <w:rPr>
          <w:rFonts w:cs="Times New Roman"/>
        </w:rPr>
        <w:t xml:space="preserve">) </w:t>
      </w:r>
      <w:r w:rsidR="00346C8D">
        <w:rPr>
          <w:rFonts w:cs="Times New Roman"/>
        </w:rPr>
        <w:t>included data for some individual states, disaggregation from the regional level to the state level was still required as an intermediate step.</w:t>
      </w:r>
      <w:r w:rsidR="002A4E5C">
        <w:rPr>
          <w:rFonts w:cs="Times New Roman"/>
        </w:rPr>
        <w:t xml:space="preserve"> This was completed by using the total number of farms in each state as a weighting factor to disaggregate regional energy consumption to individual states.</w:t>
      </w:r>
    </w:p>
    <w:p w14:paraId="711DFCFD" w14:textId="77777777" w:rsidR="00320C73" w:rsidRDefault="00320C73" w:rsidP="0005411D">
      <w:pPr>
        <w:rPr>
          <w:rFonts w:cs="Times New Roman"/>
        </w:rPr>
      </w:pPr>
    </w:p>
    <w:p w14:paraId="73F543C3" w14:textId="6B7ADC8F" w:rsidR="00C67363" w:rsidRDefault="00320C73" w:rsidP="0005411D">
      <w:pPr>
        <w:rPr>
          <w:rFonts w:cs="Times New Roman"/>
        </w:rPr>
      </w:pPr>
      <w:r>
        <w:rPr>
          <w:rFonts w:cs="Times New Roman"/>
        </w:rPr>
        <w:t xml:space="preserve">The second publication </w:t>
      </w:r>
      <w:r w:rsidR="00BA41E4">
        <w:rPr>
          <w:rFonts w:cs="Times New Roman"/>
        </w:rPr>
        <w:t xml:space="preserve">utilized for the agricultural analysis was the </w:t>
      </w:r>
      <w:r w:rsidR="00297D42">
        <w:rPr>
          <w:rFonts w:cs="Times New Roman"/>
        </w:rPr>
        <w:t>USDA’s “</w:t>
      </w:r>
      <w:r w:rsidR="00BA41E4">
        <w:rPr>
          <w:rFonts w:cs="Times New Roman"/>
        </w:rPr>
        <w:t>2012 Census of Agriculture</w:t>
      </w:r>
      <w:r w:rsidR="00297D42">
        <w:rPr>
          <w:rFonts w:cs="Times New Roman"/>
        </w:rPr>
        <w:t>”</w:t>
      </w:r>
      <w:r w:rsidR="00BA41E4">
        <w:rPr>
          <w:rFonts w:cs="Times New Roman"/>
        </w:rPr>
        <w:t xml:space="preserve"> (USDA 2012).</w:t>
      </w:r>
      <w:r w:rsidR="00A717B3">
        <w:rPr>
          <w:rFonts w:cs="Times New Roman"/>
        </w:rPr>
        <w:t xml:space="preserve"> The census reports data at the state and county levels, including statistics on various farm characteristics, inventory, expenses, and land use. </w:t>
      </w:r>
      <w:r w:rsidR="00072E2C">
        <w:rPr>
          <w:rFonts w:cs="Times New Roman"/>
        </w:rPr>
        <w:t>For</w:t>
      </w:r>
      <w:r w:rsidR="00A717B3">
        <w:rPr>
          <w:rFonts w:cs="Times New Roman"/>
        </w:rPr>
        <w:t xml:space="preserve"> this </w:t>
      </w:r>
      <w:r w:rsidR="00072E2C">
        <w:rPr>
          <w:rFonts w:cs="Times New Roman"/>
        </w:rPr>
        <w:t xml:space="preserve">analysis, </w:t>
      </w:r>
      <w:r w:rsidR="00A717B3">
        <w:rPr>
          <w:rFonts w:cs="Times New Roman"/>
        </w:rPr>
        <w:t>the county-level totals of farms were used to disaggregate the state-level energy consumption totals to the county level.</w:t>
      </w:r>
      <w:r w:rsidR="00345B3B">
        <w:rPr>
          <w:rFonts w:cs="Times New Roman"/>
        </w:rPr>
        <w:t xml:space="preserve"> Both the disaggregation procedure discussed </w:t>
      </w:r>
      <w:r w:rsidR="00094A0B">
        <w:rPr>
          <w:rFonts w:cs="Times New Roman"/>
        </w:rPr>
        <w:t>above</w:t>
      </w:r>
      <w:r w:rsidR="00345B3B">
        <w:rPr>
          <w:rFonts w:cs="Times New Roman"/>
        </w:rPr>
        <w:t xml:space="preserve"> and the procedure </w:t>
      </w:r>
      <w:r w:rsidR="00345B3B">
        <w:rPr>
          <w:rFonts w:cs="Times New Roman"/>
        </w:rPr>
        <w:lastRenderedPageBreak/>
        <w:t>outlined here</w:t>
      </w:r>
      <w:r w:rsidR="003C30BD">
        <w:rPr>
          <w:rFonts w:cs="Times New Roman"/>
        </w:rPr>
        <w:t xml:space="preserve"> follow the residential sector disaggregation</w:t>
      </w:r>
      <w:r w:rsidR="005E2A39">
        <w:rPr>
          <w:rFonts w:cs="Times New Roman"/>
        </w:rPr>
        <w:t xml:space="preserve"> strategy, and are </w:t>
      </w:r>
      <w:r w:rsidR="003E080A">
        <w:rPr>
          <w:rFonts w:cs="Times New Roman"/>
        </w:rPr>
        <w:t>illustrated in Equations 5 and 6</w:t>
      </w:r>
      <w:r w:rsidR="00C67363">
        <w:rPr>
          <w:rFonts w:cs="Times New Roman"/>
        </w:rPr>
        <w:t xml:space="preserve">. </w:t>
      </w:r>
    </w:p>
    <w:p w14:paraId="56CD1FCC" w14:textId="77777777" w:rsidR="00C67363" w:rsidRDefault="00C67363" w:rsidP="0005411D">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612"/>
        <w:gridCol w:w="496"/>
      </w:tblGrid>
      <w:tr w:rsidR="00D52E8F" w:rsidRPr="00915A5B" w14:paraId="7FDDE4D3" w14:textId="77777777" w:rsidTr="00021506">
        <w:tc>
          <w:tcPr>
            <w:tcW w:w="468" w:type="dxa"/>
            <w:vAlign w:val="center"/>
          </w:tcPr>
          <w:p w14:paraId="4AA18413" w14:textId="77777777" w:rsidR="00D52E8F" w:rsidRPr="00915A5B" w:rsidRDefault="00D52E8F" w:rsidP="00021506">
            <w:pPr>
              <w:jc w:val="center"/>
              <w:rPr>
                <w:sz w:val="20"/>
              </w:rPr>
            </w:pPr>
          </w:p>
        </w:tc>
        <w:tc>
          <w:tcPr>
            <w:tcW w:w="8612" w:type="dxa"/>
            <w:vAlign w:val="center"/>
          </w:tcPr>
          <w:p w14:paraId="3154BAFA" w14:textId="1A81D492" w:rsidR="00D52E8F" w:rsidRPr="00915A5B" w:rsidRDefault="003C6770" w:rsidP="00C612A0">
            <w:pPr>
              <w:jc w:val="center"/>
              <w:rPr>
                <w:sz w:val="20"/>
              </w:rPr>
            </w:pPr>
            <m:oMathPara>
              <m:oMath>
                <m:sSub>
                  <m:sSubPr>
                    <m:ctrlPr>
                      <w:rPr>
                        <w:rFonts w:ascii="Cambria Math" w:hAnsi="Cambria Math"/>
                        <w:i/>
                        <w:sz w:val="20"/>
                      </w:rPr>
                    </m:ctrlPr>
                  </m:sSub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County</m:t>
                            </m:r>
                          </m:num>
                          <m:den>
                            <m:r>
                              <w:rPr>
                                <w:rFonts w:ascii="Cambria Math" w:hAnsi="Cambria Math"/>
                                <w:sz w:val="20"/>
                              </w:rPr>
                              <m:t>State Total</m:t>
                            </m:r>
                          </m:den>
                        </m:f>
                      </m:e>
                    </m:d>
                  </m:e>
                  <m:sub>
                    <m:r>
                      <w:rPr>
                        <w:rFonts w:ascii="Cambria Math" w:hAnsi="Cambria Math"/>
                        <w:sz w:val="20"/>
                      </w:rPr>
                      <m:t>Farms</m:t>
                    </m:r>
                  </m:sub>
                </m:sSub>
                <m:r>
                  <w:rPr>
                    <w:rFonts w:ascii="Cambria Math" w:hAnsi="Cambria Math"/>
                    <w:sz w:val="20"/>
                  </w:rPr>
                  <m:t>=County Weight</m:t>
                </m:r>
              </m:oMath>
            </m:oMathPara>
          </w:p>
        </w:tc>
        <w:tc>
          <w:tcPr>
            <w:tcW w:w="496" w:type="dxa"/>
            <w:vAlign w:val="center"/>
          </w:tcPr>
          <w:p w14:paraId="1A95CCC8" w14:textId="76CDEB3B" w:rsidR="00D52E8F" w:rsidRPr="00915A5B" w:rsidRDefault="00F15578" w:rsidP="00021506">
            <w:pPr>
              <w:jc w:val="center"/>
              <w:rPr>
                <w:sz w:val="20"/>
              </w:rPr>
            </w:pPr>
            <w:r w:rsidRPr="00297D42">
              <w:t>(5</w:t>
            </w:r>
            <w:r w:rsidR="00D52E8F" w:rsidRPr="00297D42">
              <w:t>)</w:t>
            </w:r>
          </w:p>
        </w:tc>
      </w:tr>
    </w:tbl>
    <w:p w14:paraId="632F8791" w14:textId="77777777" w:rsidR="00C67363" w:rsidRDefault="00C67363" w:rsidP="0005411D">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612"/>
        <w:gridCol w:w="496"/>
      </w:tblGrid>
      <w:tr w:rsidR="00D52E8F" w:rsidRPr="00915A5B" w14:paraId="48F1631F" w14:textId="77777777" w:rsidTr="00021506">
        <w:tc>
          <w:tcPr>
            <w:tcW w:w="468" w:type="dxa"/>
            <w:vAlign w:val="center"/>
          </w:tcPr>
          <w:p w14:paraId="5C10479E" w14:textId="77777777" w:rsidR="00D52E8F" w:rsidRPr="00915A5B" w:rsidRDefault="00D52E8F" w:rsidP="00021506">
            <w:pPr>
              <w:jc w:val="center"/>
              <w:rPr>
                <w:sz w:val="20"/>
              </w:rPr>
            </w:pPr>
          </w:p>
        </w:tc>
        <w:tc>
          <w:tcPr>
            <w:tcW w:w="8612" w:type="dxa"/>
            <w:vAlign w:val="center"/>
          </w:tcPr>
          <w:p w14:paraId="7798674A" w14:textId="1A3816D1" w:rsidR="00D52E8F" w:rsidRPr="00915A5B" w:rsidRDefault="003C6770" w:rsidP="00C612A0">
            <w:pPr>
              <w:jc w:val="center"/>
              <w:rPr>
                <w:sz w:val="20"/>
              </w:rPr>
            </w:pPr>
            <m:oMathPara>
              <m:oMath>
                <m:d>
                  <m:dPr>
                    <m:ctrlPr>
                      <w:rPr>
                        <w:rFonts w:ascii="Cambria Math" w:hAnsi="Cambria Math"/>
                        <w:i/>
                        <w:sz w:val="20"/>
                      </w:rPr>
                    </m:ctrlPr>
                  </m:dPr>
                  <m:e>
                    <m:r>
                      <w:rPr>
                        <w:rFonts w:ascii="Cambria Math" w:hAnsi="Cambria Math"/>
                        <w:sz w:val="20"/>
                      </w:rPr>
                      <m:t>County Weight</m:t>
                    </m:r>
                  </m:e>
                </m:d>
                <m:r>
                  <w:rPr>
                    <w:rFonts w:ascii="Cambria Math" w:hAnsi="Cambria Math"/>
                    <w:sz w:val="20"/>
                  </w:rPr>
                  <m:t>*</m:t>
                </m:r>
                <m:d>
                  <m:dPr>
                    <m:ctrlPr>
                      <w:rPr>
                        <w:rFonts w:ascii="Cambria Math" w:hAnsi="Cambria Math"/>
                        <w:i/>
                        <w:sz w:val="20"/>
                      </w:rPr>
                    </m:ctrlPr>
                  </m:dPr>
                  <m:e>
                    <m:r>
                      <w:rPr>
                        <w:rFonts w:ascii="Cambria Math" w:hAnsi="Cambria Math"/>
                        <w:sz w:val="20"/>
                      </w:rPr>
                      <m:t>State Thermal Demand</m:t>
                    </m:r>
                  </m:e>
                </m:d>
                <m:r>
                  <w:rPr>
                    <w:rFonts w:ascii="Cambria Math" w:hAnsi="Cambria Math"/>
                    <w:sz w:val="20"/>
                  </w:rPr>
                  <m:t>= County Thermal Demand</m:t>
                </m:r>
              </m:oMath>
            </m:oMathPara>
          </w:p>
        </w:tc>
        <w:tc>
          <w:tcPr>
            <w:tcW w:w="496" w:type="dxa"/>
            <w:vAlign w:val="center"/>
          </w:tcPr>
          <w:p w14:paraId="2CBF7B7E" w14:textId="51C0AD42" w:rsidR="00D52E8F" w:rsidRPr="00915A5B" w:rsidRDefault="00F15578" w:rsidP="00021506">
            <w:pPr>
              <w:jc w:val="center"/>
              <w:rPr>
                <w:sz w:val="20"/>
              </w:rPr>
            </w:pPr>
            <w:r w:rsidRPr="00297D42">
              <w:t>(6</w:t>
            </w:r>
            <w:r w:rsidR="00D52E8F" w:rsidRPr="00297D42">
              <w:t>)</w:t>
            </w:r>
          </w:p>
        </w:tc>
      </w:tr>
    </w:tbl>
    <w:p w14:paraId="352B8057" w14:textId="4EFB297D" w:rsidR="00674E75" w:rsidRDefault="00674E75" w:rsidP="0005411D">
      <w:pPr>
        <w:rPr>
          <w:rFonts w:cs="Times New Roman"/>
        </w:rPr>
      </w:pPr>
    </w:p>
    <w:p w14:paraId="75055BC7" w14:textId="636C404D" w:rsidR="00094A0B" w:rsidRDefault="00D01BDD" w:rsidP="0005411D">
      <w:pPr>
        <w:rPr>
          <w:rFonts w:cs="Times New Roman"/>
        </w:rPr>
      </w:pPr>
      <w:r>
        <w:rPr>
          <w:rFonts w:cs="Times New Roman"/>
        </w:rPr>
        <w:t xml:space="preserve">The procedure to this point in the analysis has resulted in county-level demand estimates for </w:t>
      </w:r>
      <w:r>
        <w:rPr>
          <w:rFonts w:cs="Times New Roman"/>
          <w:i/>
        </w:rPr>
        <w:t xml:space="preserve">total </w:t>
      </w:r>
      <w:r>
        <w:rPr>
          <w:rFonts w:cs="Times New Roman"/>
        </w:rPr>
        <w:t>energy consumption</w:t>
      </w:r>
      <w:r w:rsidR="00C45B7D">
        <w:rPr>
          <w:rFonts w:cs="Times New Roman"/>
        </w:rPr>
        <w:t xml:space="preserve"> from fuel</w:t>
      </w:r>
      <w:r>
        <w:rPr>
          <w:rFonts w:cs="Times New Roman"/>
        </w:rPr>
        <w:t xml:space="preserve">, with no </w:t>
      </w:r>
      <w:r w:rsidR="00B12953">
        <w:rPr>
          <w:rFonts w:cs="Times New Roman"/>
        </w:rPr>
        <w:t>distinction</w:t>
      </w:r>
      <w:r>
        <w:rPr>
          <w:rFonts w:cs="Times New Roman"/>
        </w:rPr>
        <w:t xml:space="preserve"> </w:t>
      </w:r>
      <w:r w:rsidR="00B12953">
        <w:rPr>
          <w:rFonts w:cs="Times New Roman"/>
        </w:rPr>
        <w:t>made regarding the</w:t>
      </w:r>
      <w:r w:rsidR="00C45B7D">
        <w:rPr>
          <w:rFonts w:cs="Times New Roman"/>
        </w:rPr>
        <w:t xml:space="preserve"> </w:t>
      </w:r>
      <w:r w:rsidR="00B12953">
        <w:rPr>
          <w:rFonts w:cs="Times New Roman"/>
        </w:rPr>
        <w:t>end-use portion of this total (</w:t>
      </w:r>
      <w:r w:rsidR="00417523">
        <w:rPr>
          <w:rFonts w:cs="Times New Roman"/>
        </w:rPr>
        <w:t xml:space="preserve">e.g., </w:t>
      </w:r>
      <w:r w:rsidR="00B12953">
        <w:rPr>
          <w:rFonts w:cs="Times New Roman"/>
        </w:rPr>
        <w:t>tractors/machinery, space heating, drying,</w:t>
      </w:r>
      <w:r w:rsidR="00094A0B">
        <w:rPr>
          <w:rFonts w:cs="Times New Roman"/>
        </w:rPr>
        <w:t xml:space="preserve"> on-site</w:t>
      </w:r>
      <w:r w:rsidR="00B12953">
        <w:rPr>
          <w:rFonts w:cs="Times New Roman"/>
        </w:rPr>
        <w:t xml:space="preserve"> </w:t>
      </w:r>
      <w:r w:rsidR="00C45B7D">
        <w:rPr>
          <w:rFonts w:cs="Times New Roman"/>
        </w:rPr>
        <w:t>electric</w:t>
      </w:r>
      <w:r w:rsidR="00094A0B">
        <w:rPr>
          <w:rFonts w:cs="Times New Roman"/>
        </w:rPr>
        <w:t xml:space="preserve"> generation</w:t>
      </w:r>
      <w:r w:rsidR="00C45B7D">
        <w:rPr>
          <w:rFonts w:cs="Times New Roman"/>
        </w:rPr>
        <w:t xml:space="preserve">, </w:t>
      </w:r>
      <w:r w:rsidR="00B12953">
        <w:rPr>
          <w:rFonts w:cs="Times New Roman"/>
        </w:rPr>
        <w:t>etc.).</w:t>
      </w:r>
      <w:r w:rsidR="0077360B">
        <w:rPr>
          <w:rFonts w:cs="Times New Roman"/>
        </w:rPr>
        <w:t xml:space="preserve"> The lack of agricultural consumption data does not allow us to further calculate these proportions</w:t>
      </w:r>
      <w:r w:rsidR="00094A0B">
        <w:rPr>
          <w:rFonts w:cs="Times New Roman"/>
        </w:rPr>
        <w:t>.</w:t>
      </w:r>
    </w:p>
    <w:p w14:paraId="0C69377A" w14:textId="77777777" w:rsidR="00094A0B" w:rsidRDefault="00094A0B" w:rsidP="0005411D">
      <w:pPr>
        <w:rPr>
          <w:rFonts w:cs="Times New Roman"/>
        </w:rPr>
      </w:pPr>
    </w:p>
    <w:p w14:paraId="60E75548" w14:textId="7A93342F" w:rsidR="00674E75" w:rsidRDefault="00297D42" w:rsidP="0005411D">
      <w:pPr>
        <w:rPr>
          <w:rFonts w:cs="Times New Roman"/>
        </w:rPr>
      </w:pPr>
      <w:r>
        <w:rPr>
          <w:rFonts w:cs="Times New Roman"/>
        </w:rPr>
        <w:t>T</w:t>
      </w:r>
      <w:r w:rsidR="00094A0B">
        <w:rPr>
          <w:rFonts w:cs="Times New Roman"/>
        </w:rPr>
        <w:t xml:space="preserve">o </w:t>
      </w:r>
      <w:r w:rsidR="00503637">
        <w:rPr>
          <w:rFonts w:cs="Times New Roman"/>
        </w:rPr>
        <w:t>include the agricultural sector</w:t>
      </w:r>
      <w:r w:rsidR="00094A0B">
        <w:rPr>
          <w:rFonts w:cs="Times New Roman"/>
        </w:rPr>
        <w:t>,</w:t>
      </w:r>
      <w:r w:rsidR="0077360B">
        <w:rPr>
          <w:rFonts w:cs="Times New Roman"/>
        </w:rPr>
        <w:t xml:space="preserve"> </w:t>
      </w:r>
      <w:r w:rsidR="00503637">
        <w:rPr>
          <w:rFonts w:cs="Times New Roman"/>
        </w:rPr>
        <w:t xml:space="preserve">we chose to further analyze greenhouses, which </w:t>
      </w:r>
      <w:r w:rsidR="00AB2372">
        <w:rPr>
          <w:rFonts w:cs="Times New Roman"/>
        </w:rPr>
        <w:t>are often considered as potential facilities for DU adoption. Analys</w:t>
      </w:r>
      <w:r w:rsidR="00094A0B">
        <w:rPr>
          <w:rFonts w:cs="Times New Roman"/>
        </w:rPr>
        <w:t>e</w:t>
      </w:r>
      <w:r w:rsidR="00AB2372">
        <w:rPr>
          <w:rFonts w:cs="Times New Roman"/>
        </w:rPr>
        <w:t>s of other areas within the agricultural subsector, such as aquaculture or poultry production, require further time and resources to research in</w:t>
      </w:r>
      <w:r>
        <w:rPr>
          <w:rFonts w:cs="Times New Roman"/>
        </w:rPr>
        <w:t xml:space="preserve"> </w:t>
      </w:r>
      <w:r w:rsidR="00AB2372">
        <w:rPr>
          <w:rFonts w:cs="Times New Roman"/>
        </w:rPr>
        <w:t xml:space="preserve">depth and </w:t>
      </w:r>
      <w:r w:rsidR="0004221E">
        <w:rPr>
          <w:rFonts w:cs="Times New Roman"/>
        </w:rPr>
        <w:t xml:space="preserve">could </w:t>
      </w:r>
      <w:r w:rsidR="00AB2372">
        <w:rPr>
          <w:rFonts w:cs="Times New Roman"/>
        </w:rPr>
        <w:t>be considered for future inclusion.</w:t>
      </w:r>
    </w:p>
    <w:p w14:paraId="10A1F116" w14:textId="77777777" w:rsidR="00BC63DD" w:rsidRDefault="00BC63DD" w:rsidP="0005411D">
      <w:pPr>
        <w:rPr>
          <w:rFonts w:cs="Times New Roman"/>
        </w:rPr>
      </w:pPr>
    </w:p>
    <w:p w14:paraId="535BA5C6" w14:textId="21037271" w:rsidR="004E29DA" w:rsidRDefault="00602147" w:rsidP="0005411D">
      <w:pPr>
        <w:rPr>
          <w:rFonts w:cs="Times New Roman"/>
        </w:rPr>
      </w:pPr>
      <w:r>
        <w:rPr>
          <w:rFonts w:cs="Times New Roman"/>
        </w:rPr>
        <w:t xml:space="preserve">In addition to the information discussed above, the </w:t>
      </w:r>
      <w:r w:rsidR="00297D42">
        <w:rPr>
          <w:rFonts w:cs="Times New Roman"/>
        </w:rPr>
        <w:t>“</w:t>
      </w:r>
      <w:r>
        <w:rPr>
          <w:rFonts w:cs="Times New Roman"/>
        </w:rPr>
        <w:t>Census of Agriculture</w:t>
      </w:r>
      <w:r w:rsidR="00297D42">
        <w:rPr>
          <w:rFonts w:cs="Times New Roman"/>
        </w:rPr>
        <w:t>”</w:t>
      </w:r>
      <w:r>
        <w:rPr>
          <w:rFonts w:cs="Times New Roman"/>
        </w:rPr>
        <w:t xml:space="preserve"> also reports farm totals at the county level with respect to 15 different agriculture-related NAICS codes.</w:t>
      </w:r>
      <w:r w:rsidR="005323B5">
        <w:rPr>
          <w:rFonts w:cs="Times New Roman"/>
        </w:rPr>
        <w:t xml:space="preserve"> The relevant sub-industry for greenhouses is described as “Greenhouse, nursery, and floriculture production</w:t>
      </w:r>
      <w:r w:rsidR="004B46F6">
        <w:rPr>
          <w:rFonts w:cs="Times New Roman"/>
        </w:rPr>
        <w:t xml:space="preserve"> (1114)” (USDA 2012).</w:t>
      </w:r>
      <w:r w:rsidR="0042171F">
        <w:rPr>
          <w:rFonts w:cs="Times New Roman"/>
        </w:rPr>
        <w:t xml:space="preserve"> </w:t>
      </w:r>
      <w:r w:rsidR="008D3E19">
        <w:rPr>
          <w:rFonts w:cs="Times New Roman"/>
        </w:rPr>
        <w:t>The county-level demand was further proportioned into the various NAICS categories, again based on the number of farms reported in each category.</w:t>
      </w:r>
      <w:r w:rsidR="007D0400">
        <w:rPr>
          <w:rFonts w:cs="Times New Roman"/>
        </w:rPr>
        <w:t xml:space="preserve"> </w:t>
      </w:r>
      <w:r w:rsidR="005F1C4F">
        <w:rPr>
          <w:rFonts w:cs="Times New Roman"/>
        </w:rPr>
        <w:t>Finally, additional sources were consulted to determine the energy consumption in a typical greenhouse and the proportion that is allocated for heating. Greenhouses on the Cornell University campus were estimated to use approximately 65% of the total consumption for heating (Cornell</w:t>
      </w:r>
      <w:r w:rsidR="004043B2">
        <w:rPr>
          <w:rFonts w:cs="Times New Roman"/>
        </w:rPr>
        <w:t xml:space="preserve"> University</w:t>
      </w:r>
      <w:r w:rsidR="005F1C4F">
        <w:rPr>
          <w:rFonts w:cs="Times New Roman"/>
        </w:rPr>
        <w:t xml:space="preserve"> 2014)</w:t>
      </w:r>
      <w:r w:rsidR="00297D42">
        <w:rPr>
          <w:rFonts w:cs="Times New Roman"/>
        </w:rPr>
        <w:t>,</w:t>
      </w:r>
      <w:r w:rsidR="00B56916">
        <w:rPr>
          <w:rFonts w:cs="Times New Roman"/>
        </w:rPr>
        <w:t xml:space="preserve"> and an Illinois utility company estimated that 70</w:t>
      </w:r>
      <w:r w:rsidR="00297D42">
        <w:rPr>
          <w:rFonts w:cs="Times New Roman"/>
        </w:rPr>
        <w:t>%–</w:t>
      </w:r>
      <w:r w:rsidR="00B56916">
        <w:rPr>
          <w:rFonts w:cs="Times New Roman"/>
        </w:rPr>
        <w:t>80% of energy use is allocated to heating in a typical greenhouse (</w:t>
      </w:r>
      <w:r w:rsidR="003D4577">
        <w:rPr>
          <w:rFonts w:cs="Times New Roman"/>
        </w:rPr>
        <w:t>Brinker 2012).</w:t>
      </w:r>
      <w:r w:rsidR="00B00770">
        <w:rPr>
          <w:rFonts w:cs="Times New Roman"/>
        </w:rPr>
        <w:t xml:space="preserve"> Therefore, we assumed that 70% of the total energy consumption for greenhouses is allocated for heating purposes.</w:t>
      </w:r>
    </w:p>
    <w:p w14:paraId="2A6D790A" w14:textId="77777777" w:rsidR="004E29DA" w:rsidRDefault="004E29DA" w:rsidP="0005411D">
      <w:pPr>
        <w:rPr>
          <w:rFonts w:cs="Times New Roman"/>
        </w:rPr>
      </w:pPr>
    </w:p>
    <w:p w14:paraId="44C9367F" w14:textId="1D9AB175" w:rsidR="004E29DA" w:rsidRPr="00D01BDD" w:rsidRDefault="00D45F0A" w:rsidP="0005411D">
      <w:pPr>
        <w:rPr>
          <w:rFonts w:cs="Times New Roman"/>
        </w:rPr>
      </w:pPr>
      <w:r>
        <w:rPr>
          <w:rFonts w:cs="Times New Roman"/>
        </w:rPr>
        <w:t>The result of th</w:t>
      </w:r>
      <w:r w:rsidR="00094A0B">
        <w:rPr>
          <w:rFonts w:cs="Times New Roman"/>
        </w:rPr>
        <w:t>is</w:t>
      </w:r>
      <w:r>
        <w:rPr>
          <w:rFonts w:cs="Times New Roman"/>
        </w:rPr>
        <w:t xml:space="preserve"> strategy was a list of counties that contained farms under the “Greenhouse, nursery, and floriculture production (1114)” NAICS distinction and their corresponding thermal demand.</w:t>
      </w:r>
      <w:r w:rsidR="00BA6FB6">
        <w:rPr>
          <w:rFonts w:cs="Times New Roman"/>
        </w:rPr>
        <w:t xml:space="preserve"> </w:t>
      </w:r>
    </w:p>
    <w:p w14:paraId="5131D13E" w14:textId="77777777" w:rsidR="00BE3C0C" w:rsidRDefault="00BE3C0C" w:rsidP="0005411D">
      <w:pPr>
        <w:rPr>
          <w:rFonts w:cs="Times New Roman"/>
        </w:rPr>
      </w:pPr>
    </w:p>
    <w:p w14:paraId="5D7731ED" w14:textId="1CAEAFB4" w:rsidR="00E7522A" w:rsidRDefault="00E7522A" w:rsidP="00165DE6">
      <w:pPr>
        <w:rPr>
          <w:rFonts w:cs="Times New Roman"/>
          <w:b/>
          <w:sz w:val="28"/>
          <w:szCs w:val="28"/>
        </w:rPr>
      </w:pPr>
      <w:r>
        <w:rPr>
          <w:rFonts w:cs="Times New Roman"/>
          <w:b/>
          <w:sz w:val="28"/>
          <w:szCs w:val="28"/>
        </w:rPr>
        <w:t>Results</w:t>
      </w:r>
    </w:p>
    <w:p w14:paraId="6916FCED" w14:textId="3DEFA2C4" w:rsidR="004A0C92" w:rsidRDefault="00E7522A" w:rsidP="00165DE6">
      <w:pPr>
        <w:rPr>
          <w:rFonts w:cs="Times New Roman"/>
        </w:rPr>
      </w:pPr>
      <w:r w:rsidRPr="00165DE6">
        <w:rPr>
          <w:rFonts w:cs="Times New Roman"/>
        </w:rPr>
        <w:t xml:space="preserve">The </w:t>
      </w:r>
      <w:r w:rsidR="00EC56CE">
        <w:rPr>
          <w:rFonts w:cs="Times New Roman"/>
        </w:rPr>
        <w:t xml:space="preserve">primary results of the above analyses are the </w:t>
      </w:r>
      <w:r w:rsidRPr="00165DE6">
        <w:rPr>
          <w:rFonts w:cs="Times New Roman"/>
        </w:rPr>
        <w:t xml:space="preserve">preliminary demand </w:t>
      </w:r>
      <w:r>
        <w:rPr>
          <w:rFonts w:cs="Times New Roman"/>
        </w:rPr>
        <w:t>maps for the residential</w:t>
      </w:r>
      <w:r w:rsidR="00095F4F">
        <w:rPr>
          <w:rFonts w:cs="Times New Roman"/>
        </w:rPr>
        <w:t xml:space="preserve"> (</w:t>
      </w:r>
      <w:r w:rsidR="004756BA">
        <w:rPr>
          <w:rFonts w:cs="Times New Roman"/>
        </w:rPr>
        <w:fldChar w:fldCharType="begin"/>
      </w:r>
      <w:r w:rsidR="004756BA">
        <w:rPr>
          <w:rFonts w:cs="Times New Roman"/>
        </w:rPr>
        <w:instrText xml:space="preserve"> REF _Ref322855924 \h </w:instrText>
      </w:r>
      <w:r w:rsidR="004756BA">
        <w:rPr>
          <w:rFonts w:cs="Times New Roman"/>
        </w:rPr>
      </w:r>
      <w:r w:rsidR="004756BA">
        <w:rPr>
          <w:rFonts w:cs="Times New Roman"/>
        </w:rPr>
        <w:fldChar w:fldCharType="separate"/>
      </w:r>
      <w:r w:rsidR="00244063" w:rsidRPr="00A15D31">
        <w:rPr>
          <w:rFonts w:cs="Times New Roman"/>
        </w:rPr>
        <w:t xml:space="preserve">Figure </w:t>
      </w:r>
      <w:r w:rsidR="00244063">
        <w:rPr>
          <w:rFonts w:cs="Times New Roman"/>
          <w:noProof/>
        </w:rPr>
        <w:t>8</w:t>
      </w:r>
      <w:r w:rsidR="004756BA">
        <w:rPr>
          <w:rFonts w:cs="Times New Roman"/>
        </w:rPr>
        <w:fldChar w:fldCharType="end"/>
      </w:r>
      <w:r w:rsidR="00095F4F">
        <w:rPr>
          <w:rFonts w:cs="Times New Roman"/>
        </w:rPr>
        <w:t>),</w:t>
      </w:r>
      <w:r>
        <w:rPr>
          <w:rFonts w:cs="Times New Roman"/>
        </w:rPr>
        <w:t xml:space="preserve"> commercial</w:t>
      </w:r>
      <w:r w:rsidR="00095F4F">
        <w:rPr>
          <w:rFonts w:cs="Times New Roman"/>
        </w:rPr>
        <w:t xml:space="preserve"> (</w:t>
      </w:r>
      <w:r w:rsidR="004756BA">
        <w:rPr>
          <w:rFonts w:cs="Times New Roman"/>
        </w:rPr>
        <w:fldChar w:fldCharType="begin"/>
      </w:r>
      <w:r w:rsidR="004756BA">
        <w:rPr>
          <w:rFonts w:cs="Times New Roman"/>
        </w:rPr>
        <w:instrText xml:space="preserve"> REF _Ref322856074 \h </w:instrText>
      </w:r>
      <w:r w:rsidR="004756BA">
        <w:rPr>
          <w:rFonts w:cs="Times New Roman"/>
        </w:rPr>
      </w:r>
      <w:r w:rsidR="004756BA">
        <w:rPr>
          <w:rFonts w:cs="Times New Roman"/>
        </w:rPr>
        <w:fldChar w:fldCharType="separate"/>
      </w:r>
      <w:r w:rsidR="00244063" w:rsidRPr="00A15D31">
        <w:rPr>
          <w:rFonts w:cs="Times New Roman"/>
        </w:rPr>
        <w:t xml:space="preserve">Figure </w:t>
      </w:r>
      <w:r w:rsidR="00244063">
        <w:rPr>
          <w:rFonts w:cs="Times New Roman"/>
          <w:noProof/>
        </w:rPr>
        <w:t>9</w:t>
      </w:r>
      <w:r w:rsidR="004756BA">
        <w:rPr>
          <w:rFonts w:cs="Times New Roman"/>
        </w:rPr>
        <w:fldChar w:fldCharType="end"/>
      </w:r>
      <w:r w:rsidR="00095F4F">
        <w:rPr>
          <w:rFonts w:cs="Times New Roman"/>
        </w:rPr>
        <w:t xml:space="preserve">), </w:t>
      </w:r>
      <w:r w:rsidR="00744208">
        <w:rPr>
          <w:rFonts w:cs="Times New Roman"/>
        </w:rPr>
        <w:t>manufacturing</w:t>
      </w:r>
      <w:r w:rsidR="00095F4F">
        <w:rPr>
          <w:rFonts w:cs="Times New Roman"/>
        </w:rPr>
        <w:t xml:space="preserve"> (</w:t>
      </w:r>
      <w:r w:rsidR="004756BA">
        <w:rPr>
          <w:rFonts w:cs="Times New Roman"/>
        </w:rPr>
        <w:fldChar w:fldCharType="begin"/>
      </w:r>
      <w:r w:rsidR="004756BA">
        <w:rPr>
          <w:rFonts w:cs="Times New Roman"/>
        </w:rPr>
        <w:instrText xml:space="preserve"> REF _Ref322856267 \h </w:instrText>
      </w:r>
      <w:r w:rsidR="004756BA">
        <w:rPr>
          <w:rFonts w:cs="Times New Roman"/>
        </w:rPr>
      </w:r>
      <w:r w:rsidR="004756BA">
        <w:rPr>
          <w:rFonts w:cs="Times New Roman"/>
        </w:rPr>
        <w:fldChar w:fldCharType="separate"/>
      </w:r>
      <w:r w:rsidR="00244063" w:rsidRPr="00A15D31">
        <w:rPr>
          <w:rFonts w:cs="Times New Roman"/>
        </w:rPr>
        <w:t xml:space="preserve">Figure </w:t>
      </w:r>
      <w:r w:rsidR="00244063">
        <w:rPr>
          <w:rFonts w:cs="Times New Roman"/>
          <w:noProof/>
        </w:rPr>
        <w:t>10</w:t>
      </w:r>
      <w:r w:rsidR="004756BA">
        <w:rPr>
          <w:rFonts w:cs="Times New Roman"/>
        </w:rPr>
        <w:fldChar w:fldCharType="end"/>
      </w:r>
      <w:r w:rsidR="00095F4F">
        <w:rPr>
          <w:rFonts w:cs="Times New Roman"/>
        </w:rPr>
        <w:t xml:space="preserve">), </w:t>
      </w:r>
      <w:r w:rsidR="004E5FB7">
        <w:rPr>
          <w:rFonts w:cs="Times New Roman"/>
        </w:rPr>
        <w:t>and agricultural (</w:t>
      </w:r>
      <w:r w:rsidR="00095F4F">
        <w:rPr>
          <w:rFonts w:cs="Times New Roman"/>
        </w:rPr>
        <w:t xml:space="preserve">Figure </w:t>
      </w:r>
      <w:r w:rsidR="004756BA">
        <w:rPr>
          <w:rFonts w:cs="Times New Roman"/>
        </w:rPr>
        <w:t>11</w:t>
      </w:r>
      <w:r w:rsidR="004E5FB7">
        <w:rPr>
          <w:rFonts w:cs="Times New Roman"/>
        </w:rPr>
        <w:t>)</w:t>
      </w:r>
      <w:r w:rsidR="00EC56CE">
        <w:rPr>
          <w:rFonts w:cs="Times New Roman"/>
        </w:rPr>
        <w:t xml:space="preserve"> </w:t>
      </w:r>
      <w:r w:rsidRPr="00165DE6">
        <w:rPr>
          <w:rFonts w:cs="Times New Roman"/>
        </w:rPr>
        <w:t>sectors</w:t>
      </w:r>
      <w:r w:rsidR="00EC56CE">
        <w:rPr>
          <w:rFonts w:cs="Times New Roman"/>
        </w:rPr>
        <w:t xml:space="preserve"> for use in future technical, economic, and market potential modeling with dGeo.</w:t>
      </w:r>
      <w:r w:rsidRPr="00165DE6">
        <w:rPr>
          <w:rFonts w:cs="Times New Roman"/>
        </w:rPr>
        <w:t xml:space="preserve"> </w:t>
      </w:r>
      <w:r w:rsidR="003F4CFD">
        <w:rPr>
          <w:rFonts w:cs="Times New Roman"/>
        </w:rPr>
        <w:t xml:space="preserve">In addition, </w:t>
      </w:r>
      <w:r w:rsidR="007A06E3" w:rsidRPr="007A06E3">
        <w:rPr>
          <w:rFonts w:cs="Times New Roman"/>
        </w:rPr>
        <w:fldChar w:fldCharType="begin"/>
      </w:r>
      <w:r w:rsidR="007A06E3" w:rsidRPr="007A06E3">
        <w:rPr>
          <w:rFonts w:cs="Times New Roman"/>
        </w:rPr>
        <w:instrText xml:space="preserve"> REF _Ref323482530 \h </w:instrText>
      </w:r>
      <w:r w:rsidR="007A06E3" w:rsidRPr="007A06E3">
        <w:rPr>
          <w:rFonts w:cs="Times New Roman"/>
        </w:rPr>
      </w:r>
      <w:r w:rsidR="007A06E3" w:rsidRPr="007A06E3">
        <w:rPr>
          <w:rFonts w:cs="Times New Roman"/>
        </w:rPr>
        <w:fldChar w:fldCharType="separate"/>
      </w:r>
      <w:r w:rsidR="00244063" w:rsidRPr="00A15D31">
        <w:t xml:space="preserve">Table </w:t>
      </w:r>
      <w:r w:rsidR="00244063">
        <w:rPr>
          <w:noProof/>
        </w:rPr>
        <w:t>7</w:t>
      </w:r>
      <w:r w:rsidR="007A06E3" w:rsidRPr="007A06E3">
        <w:rPr>
          <w:rFonts w:cs="Times New Roman"/>
        </w:rPr>
        <w:fldChar w:fldCharType="end"/>
      </w:r>
      <w:r w:rsidR="007A06E3">
        <w:rPr>
          <w:rFonts w:cs="Times New Roman"/>
        </w:rPr>
        <w:t xml:space="preserve"> </w:t>
      </w:r>
      <w:r w:rsidR="003F4CFD">
        <w:rPr>
          <w:rFonts w:cs="Times New Roman"/>
        </w:rPr>
        <w:t xml:space="preserve">ranks the top </w:t>
      </w:r>
      <w:r w:rsidR="007A06E3">
        <w:rPr>
          <w:rFonts w:cs="Times New Roman"/>
        </w:rPr>
        <w:t>three</w:t>
      </w:r>
      <w:r w:rsidR="003F4CFD">
        <w:rPr>
          <w:rFonts w:cs="Times New Roman"/>
        </w:rPr>
        <w:t xml:space="preserve"> counties </w:t>
      </w:r>
      <w:r w:rsidR="0074117C">
        <w:rPr>
          <w:rFonts w:cs="Times New Roman"/>
        </w:rPr>
        <w:t xml:space="preserve">for total thermal demand </w:t>
      </w:r>
      <w:r w:rsidR="003F4CFD">
        <w:rPr>
          <w:rFonts w:cs="Times New Roman"/>
        </w:rPr>
        <w:t>in each sector</w:t>
      </w:r>
      <w:r w:rsidR="00297D42">
        <w:rPr>
          <w:rFonts w:cs="Times New Roman"/>
        </w:rPr>
        <w:t>,</w:t>
      </w:r>
      <w:r w:rsidR="003F4CFD">
        <w:rPr>
          <w:rFonts w:cs="Times New Roman"/>
        </w:rPr>
        <w:t xml:space="preserve"> </w:t>
      </w:r>
      <w:r w:rsidR="00EA2EA6">
        <w:rPr>
          <w:rFonts w:cs="Times New Roman"/>
        </w:rPr>
        <w:t xml:space="preserve">and </w:t>
      </w:r>
      <w:r w:rsidR="0075268F" w:rsidRPr="00663BF0">
        <w:rPr>
          <w:rFonts w:cs="Times New Roman"/>
        </w:rPr>
        <w:fldChar w:fldCharType="begin"/>
      </w:r>
      <w:r w:rsidR="0075268F" w:rsidRPr="0075268F">
        <w:rPr>
          <w:rFonts w:cs="Times New Roman"/>
        </w:rPr>
        <w:instrText xml:space="preserve"> REF _Ref324431326 \h </w:instrText>
      </w:r>
      <w:r w:rsidR="0075268F" w:rsidRPr="00663BF0">
        <w:rPr>
          <w:rFonts w:cs="Times New Roman"/>
        </w:rPr>
      </w:r>
      <w:r w:rsidR="0075268F" w:rsidRPr="00663BF0">
        <w:rPr>
          <w:rFonts w:cs="Times New Roman"/>
        </w:rPr>
        <w:fldChar w:fldCharType="separate"/>
      </w:r>
      <w:r w:rsidR="00244063" w:rsidRPr="00A15D31">
        <w:t xml:space="preserve">Table </w:t>
      </w:r>
      <w:r w:rsidR="00244063">
        <w:rPr>
          <w:noProof/>
        </w:rPr>
        <w:t>8</w:t>
      </w:r>
      <w:r w:rsidR="0075268F" w:rsidRPr="00663BF0">
        <w:rPr>
          <w:rFonts w:cs="Times New Roman"/>
        </w:rPr>
        <w:fldChar w:fldCharType="end"/>
      </w:r>
      <w:r w:rsidR="00EA2EA6">
        <w:rPr>
          <w:rFonts w:cs="Times New Roman"/>
        </w:rPr>
        <w:t xml:space="preserve"> ranks the top three counties </w:t>
      </w:r>
      <w:r w:rsidR="0074117C">
        <w:rPr>
          <w:rFonts w:cs="Times New Roman"/>
        </w:rPr>
        <w:t xml:space="preserve">for “thermal demand density” </w:t>
      </w:r>
      <w:r w:rsidR="00EA2EA6">
        <w:rPr>
          <w:rFonts w:cs="Times New Roman"/>
        </w:rPr>
        <w:t>in each sector, a metric that reports demand per square foot of land within the county</w:t>
      </w:r>
      <w:r w:rsidR="003F4CFD">
        <w:rPr>
          <w:rFonts w:cs="Times New Roman"/>
        </w:rPr>
        <w:t>.</w:t>
      </w:r>
      <w:r w:rsidR="00F908CE">
        <w:rPr>
          <w:rFonts w:cs="Times New Roman"/>
        </w:rPr>
        <w:t xml:space="preserve"> </w:t>
      </w:r>
    </w:p>
    <w:p w14:paraId="2B1551ED" w14:textId="77777777" w:rsidR="004A0C92" w:rsidRDefault="004A0C92" w:rsidP="00165DE6">
      <w:pPr>
        <w:rPr>
          <w:rFonts w:cs="Times New Roman"/>
        </w:rPr>
      </w:pPr>
    </w:p>
    <w:p w14:paraId="096D294D" w14:textId="1C4A0D81" w:rsidR="00E7522A" w:rsidRDefault="004A0C92" w:rsidP="00165DE6">
      <w:pPr>
        <w:rPr>
          <w:rFonts w:cs="Times New Roman"/>
        </w:rPr>
      </w:pPr>
      <w:r>
        <w:rPr>
          <w:rFonts w:cs="Times New Roman"/>
        </w:rPr>
        <w:t>Many</w:t>
      </w:r>
      <w:r w:rsidR="00F908CE">
        <w:rPr>
          <w:rFonts w:cs="Times New Roman"/>
        </w:rPr>
        <w:t xml:space="preserve"> of the</w:t>
      </w:r>
      <w:r>
        <w:rPr>
          <w:rFonts w:cs="Times New Roman"/>
        </w:rPr>
        <w:t xml:space="preserve"> top</w:t>
      </w:r>
      <w:r w:rsidR="00F908CE">
        <w:rPr>
          <w:rFonts w:cs="Times New Roman"/>
        </w:rPr>
        <w:t xml:space="preserve"> counties</w:t>
      </w:r>
      <w:r>
        <w:rPr>
          <w:rFonts w:cs="Times New Roman"/>
        </w:rPr>
        <w:t xml:space="preserve"> by</w:t>
      </w:r>
      <w:r w:rsidR="0001371B">
        <w:rPr>
          <w:rFonts w:cs="Times New Roman"/>
        </w:rPr>
        <w:t xml:space="preserve"> </w:t>
      </w:r>
      <w:r>
        <w:rPr>
          <w:rFonts w:cs="Times New Roman"/>
        </w:rPr>
        <w:t>demand</w:t>
      </w:r>
      <w:r w:rsidR="00FB2FEE">
        <w:rPr>
          <w:rFonts w:cs="Times New Roman"/>
        </w:rPr>
        <w:t xml:space="preserve">, especially in the residential and commercial sectors, </w:t>
      </w:r>
      <w:r w:rsidR="00F908CE">
        <w:rPr>
          <w:rFonts w:cs="Times New Roman"/>
        </w:rPr>
        <w:t>are also those with large population</w:t>
      </w:r>
      <w:r w:rsidR="00001393">
        <w:rPr>
          <w:rFonts w:cs="Times New Roman"/>
        </w:rPr>
        <w:t>s</w:t>
      </w:r>
      <w:r w:rsidR="00F908CE">
        <w:rPr>
          <w:rFonts w:cs="Times New Roman"/>
        </w:rPr>
        <w:t>, reflecting the strong linkage between thermal energy consumption and population centers.</w:t>
      </w:r>
      <w:r w:rsidR="003F4CFD">
        <w:rPr>
          <w:rFonts w:cs="Times New Roman"/>
        </w:rPr>
        <w:t xml:space="preserve"> </w:t>
      </w:r>
      <w:r w:rsidR="00F908CE">
        <w:rPr>
          <w:rFonts w:cs="Times New Roman"/>
        </w:rPr>
        <w:t xml:space="preserve">While these counties may potentially represent strong candidates for geothermal </w:t>
      </w:r>
      <w:r w:rsidR="00297D42">
        <w:rPr>
          <w:rFonts w:cs="Times New Roman"/>
        </w:rPr>
        <w:t>DU</w:t>
      </w:r>
      <w:r w:rsidR="00F908CE">
        <w:rPr>
          <w:rFonts w:cs="Times New Roman"/>
        </w:rPr>
        <w:t xml:space="preserve"> applications, further analysis is required to determine </w:t>
      </w:r>
      <w:r w:rsidR="00A8790C">
        <w:rPr>
          <w:rFonts w:cs="Times New Roman"/>
        </w:rPr>
        <w:t>whether and to what</w:t>
      </w:r>
      <w:r w:rsidR="00F908CE">
        <w:rPr>
          <w:rFonts w:cs="Times New Roman"/>
        </w:rPr>
        <w:t xml:space="preserve"> degree these thermal demand centers are co-located with </w:t>
      </w:r>
      <w:r w:rsidR="00A8790C">
        <w:rPr>
          <w:rFonts w:cs="Times New Roman"/>
        </w:rPr>
        <w:t>suitable</w:t>
      </w:r>
      <w:r w:rsidR="00F908CE">
        <w:rPr>
          <w:rFonts w:cs="Times New Roman"/>
        </w:rPr>
        <w:t xml:space="preserve"> geothermal resources. </w:t>
      </w:r>
    </w:p>
    <w:p w14:paraId="5E8502E4" w14:textId="77777777" w:rsidR="00373B00" w:rsidRDefault="00373B00" w:rsidP="00373B00">
      <w:pPr>
        <w:keepNext/>
        <w:jc w:val="center"/>
      </w:pPr>
      <w:r>
        <w:rPr>
          <w:noProof/>
        </w:rPr>
        <w:lastRenderedPageBreak/>
        <w:drawing>
          <wp:inline distT="0" distB="0" distL="0" distR="0" wp14:anchorId="0EA381C8" wp14:editId="7A586477">
            <wp:extent cx="4263644" cy="3730244"/>
            <wp:effectExtent l="0" t="0" r="3810" b="381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3644" cy="3730244"/>
                    </a:xfrm>
                    <a:prstGeom prst="rect">
                      <a:avLst/>
                    </a:prstGeom>
                    <a:noFill/>
                    <a:ln>
                      <a:noFill/>
                    </a:ln>
                  </pic:spPr>
                </pic:pic>
              </a:graphicData>
            </a:graphic>
          </wp:inline>
        </w:drawing>
      </w:r>
    </w:p>
    <w:p w14:paraId="772F3607" w14:textId="640E8C07" w:rsidR="00563903" w:rsidRPr="00A15D31" w:rsidRDefault="00373B00" w:rsidP="00373B00">
      <w:pPr>
        <w:pStyle w:val="Caption"/>
        <w:jc w:val="center"/>
        <w:rPr>
          <w:rFonts w:cs="Times New Roman"/>
          <w:b w:val="0"/>
          <w:color w:val="auto"/>
        </w:rPr>
      </w:pPr>
      <w:bookmarkStart w:id="11" w:name="_Ref322855924"/>
      <w:r w:rsidRPr="00A15D31">
        <w:rPr>
          <w:rFonts w:cs="Times New Roman"/>
          <w:color w:val="auto"/>
        </w:rPr>
        <w:t xml:space="preserve">Figure </w:t>
      </w:r>
      <w:r w:rsidRPr="00A15D31">
        <w:rPr>
          <w:rFonts w:cs="Times New Roman"/>
          <w:color w:val="auto"/>
        </w:rPr>
        <w:fldChar w:fldCharType="begin"/>
      </w:r>
      <w:r w:rsidRPr="00A15D31">
        <w:rPr>
          <w:rFonts w:cs="Times New Roman"/>
          <w:color w:val="auto"/>
        </w:rPr>
        <w:instrText xml:space="preserve"> SEQ Figure \* ARABIC </w:instrText>
      </w:r>
      <w:r w:rsidRPr="00A15D31">
        <w:rPr>
          <w:rFonts w:cs="Times New Roman"/>
          <w:color w:val="auto"/>
        </w:rPr>
        <w:fldChar w:fldCharType="separate"/>
      </w:r>
      <w:r w:rsidR="00244063">
        <w:rPr>
          <w:rFonts w:cs="Times New Roman"/>
          <w:noProof/>
          <w:color w:val="auto"/>
        </w:rPr>
        <w:t>8</w:t>
      </w:r>
      <w:r w:rsidRPr="00A15D31">
        <w:rPr>
          <w:rFonts w:cs="Times New Roman"/>
          <w:color w:val="auto"/>
        </w:rPr>
        <w:fldChar w:fldCharType="end"/>
      </w:r>
      <w:bookmarkEnd w:id="11"/>
      <w:r w:rsidRPr="00A15D31">
        <w:rPr>
          <w:rFonts w:cs="Times New Roman"/>
          <w:color w:val="auto"/>
        </w:rPr>
        <w:t xml:space="preserve">: </w:t>
      </w:r>
      <w:r w:rsidRPr="00A15D31">
        <w:rPr>
          <w:rFonts w:cs="Times New Roman"/>
          <w:b w:val="0"/>
          <w:color w:val="auto"/>
        </w:rPr>
        <w:t>Residential sector thermal demand map of United States</w:t>
      </w:r>
    </w:p>
    <w:p w14:paraId="355EBE3E" w14:textId="77777777" w:rsidR="00373B00" w:rsidRDefault="00373B00" w:rsidP="00373B00">
      <w:pPr>
        <w:keepNext/>
        <w:jc w:val="center"/>
      </w:pPr>
      <w:r>
        <w:rPr>
          <w:rFonts w:cs="Times New Roman"/>
          <w:noProof/>
        </w:rPr>
        <w:drawing>
          <wp:inline distT="0" distB="0" distL="0" distR="0" wp14:anchorId="2BC75C53" wp14:editId="1FFB73F0">
            <wp:extent cx="4284618" cy="3749040"/>
            <wp:effectExtent l="0" t="0" r="825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_demand_map.png"/>
                    <pic:cNvPicPr/>
                  </pic:nvPicPr>
                  <pic:blipFill>
                    <a:blip r:embed="rId34">
                      <a:extLst>
                        <a:ext uri="{28A0092B-C50C-407E-A947-70E740481C1C}">
                          <a14:useLocalDpi xmlns:a14="http://schemas.microsoft.com/office/drawing/2010/main" val="0"/>
                        </a:ext>
                      </a:extLst>
                    </a:blip>
                    <a:stretch>
                      <a:fillRect/>
                    </a:stretch>
                  </pic:blipFill>
                  <pic:spPr>
                    <a:xfrm>
                      <a:off x="0" y="0"/>
                      <a:ext cx="4284618" cy="3749040"/>
                    </a:xfrm>
                    <a:prstGeom prst="rect">
                      <a:avLst/>
                    </a:prstGeom>
                  </pic:spPr>
                </pic:pic>
              </a:graphicData>
            </a:graphic>
          </wp:inline>
        </w:drawing>
      </w:r>
    </w:p>
    <w:p w14:paraId="697A1C8A" w14:textId="1D1ECB87" w:rsidR="0006113B" w:rsidRPr="00A15D31" w:rsidRDefault="00373B00" w:rsidP="00373B00">
      <w:pPr>
        <w:pStyle w:val="Caption"/>
        <w:jc w:val="center"/>
        <w:rPr>
          <w:rFonts w:cs="Times New Roman"/>
          <w:color w:val="auto"/>
        </w:rPr>
      </w:pPr>
      <w:bookmarkStart w:id="12" w:name="_Ref322856074"/>
      <w:r w:rsidRPr="00A15D31">
        <w:rPr>
          <w:rFonts w:cs="Times New Roman"/>
          <w:color w:val="auto"/>
        </w:rPr>
        <w:t xml:space="preserve">Figure </w:t>
      </w:r>
      <w:r w:rsidRPr="00A15D31">
        <w:rPr>
          <w:rFonts w:cs="Times New Roman"/>
          <w:color w:val="auto"/>
        </w:rPr>
        <w:fldChar w:fldCharType="begin"/>
      </w:r>
      <w:r w:rsidRPr="00A15D31">
        <w:rPr>
          <w:rFonts w:cs="Times New Roman"/>
          <w:color w:val="auto"/>
        </w:rPr>
        <w:instrText xml:space="preserve"> SEQ Figure \* ARABIC </w:instrText>
      </w:r>
      <w:r w:rsidRPr="00A15D31">
        <w:rPr>
          <w:rFonts w:cs="Times New Roman"/>
          <w:color w:val="auto"/>
        </w:rPr>
        <w:fldChar w:fldCharType="separate"/>
      </w:r>
      <w:r w:rsidR="00244063">
        <w:rPr>
          <w:rFonts w:cs="Times New Roman"/>
          <w:noProof/>
          <w:color w:val="auto"/>
        </w:rPr>
        <w:t>9</w:t>
      </w:r>
      <w:r w:rsidRPr="00A15D31">
        <w:rPr>
          <w:rFonts w:cs="Times New Roman"/>
          <w:color w:val="auto"/>
        </w:rPr>
        <w:fldChar w:fldCharType="end"/>
      </w:r>
      <w:bookmarkEnd w:id="12"/>
      <w:r w:rsidRPr="00A15D31">
        <w:rPr>
          <w:rFonts w:cs="Times New Roman"/>
          <w:color w:val="auto"/>
        </w:rPr>
        <w:t xml:space="preserve">: </w:t>
      </w:r>
      <w:r w:rsidRPr="00A15D31">
        <w:rPr>
          <w:rFonts w:cs="Times New Roman"/>
          <w:b w:val="0"/>
          <w:color w:val="auto"/>
        </w:rPr>
        <w:t>Commercial sector thermal demand map of United States</w:t>
      </w:r>
    </w:p>
    <w:p w14:paraId="0E663A5D" w14:textId="6F6CB36F" w:rsidR="0070565B" w:rsidRDefault="0070565B" w:rsidP="0070565B">
      <w:pPr>
        <w:rPr>
          <w:rFonts w:cs="Times New Roman"/>
        </w:rPr>
      </w:pPr>
      <w:r>
        <w:rPr>
          <w:rFonts w:cs="Times New Roman"/>
        </w:rPr>
        <w:lastRenderedPageBreak/>
        <w:t>In the manufacturing sector, the lack of nationwide data renders further discussion of the results difficult. Nonetheless, an interesting result from Table 7 is the top county for thermal demand, Harris County</w:t>
      </w:r>
      <w:r w:rsidR="00297D42">
        <w:rPr>
          <w:rFonts w:cs="Times New Roman"/>
        </w:rPr>
        <w:t>, Texas</w:t>
      </w:r>
      <w:r>
        <w:rPr>
          <w:rFonts w:cs="Times New Roman"/>
        </w:rPr>
        <w:t xml:space="preserve">, in which the city of Houston </w:t>
      </w:r>
      <w:r w:rsidR="00297D42">
        <w:rPr>
          <w:rFonts w:cs="Times New Roman"/>
        </w:rPr>
        <w:t>is located</w:t>
      </w:r>
      <w:r>
        <w:rPr>
          <w:rFonts w:cs="Times New Roman"/>
        </w:rPr>
        <w:t xml:space="preserve">. The prevalence of </w:t>
      </w:r>
      <w:r w:rsidR="00CC0A14">
        <w:rPr>
          <w:rFonts w:cs="Times New Roman"/>
        </w:rPr>
        <w:t>chemical manufacturing</w:t>
      </w:r>
      <w:r>
        <w:rPr>
          <w:rFonts w:cs="Times New Roman"/>
        </w:rPr>
        <w:t xml:space="preserve"> operations associated with this city also corresponds to the total demand in the county, where a high number of </w:t>
      </w:r>
      <w:r w:rsidR="0027126D">
        <w:rPr>
          <w:rFonts w:cs="Times New Roman"/>
        </w:rPr>
        <w:t>“basic organic</w:t>
      </w:r>
      <w:r w:rsidR="00CC0A14">
        <w:rPr>
          <w:rFonts w:cs="Times New Roman"/>
        </w:rPr>
        <w:t xml:space="preserve"> chemical manufacturing</w:t>
      </w:r>
      <w:r w:rsidR="0027126D">
        <w:rPr>
          <w:rFonts w:cs="Times New Roman"/>
        </w:rPr>
        <w:t>” (EIA 2010)</w:t>
      </w:r>
      <w:r>
        <w:rPr>
          <w:rFonts w:cs="Times New Roman"/>
        </w:rPr>
        <w:t xml:space="preserve"> facilities contribute to the overall consumption. </w:t>
      </w:r>
      <w:r w:rsidR="0027126D">
        <w:rPr>
          <w:rFonts w:cs="Times New Roman"/>
        </w:rPr>
        <w:t>In fact, the number of facilities with this NAICS distinction in Harris County (58) is nearly four times greater than the next closest county (15</w:t>
      </w:r>
      <w:r w:rsidR="00297D42">
        <w:rPr>
          <w:rFonts w:cs="Times New Roman"/>
        </w:rPr>
        <w:t>, in</w:t>
      </w:r>
      <w:r w:rsidR="0027126D">
        <w:rPr>
          <w:rFonts w:cs="Times New Roman"/>
        </w:rPr>
        <w:t xml:space="preserve"> Cuyahoga County, Ohio). </w:t>
      </w:r>
      <w:r w:rsidR="009A6980">
        <w:rPr>
          <w:rFonts w:cs="Times New Roman"/>
        </w:rPr>
        <w:t xml:space="preserve">Additionally, a regional trend can be discerned from the map, where many of the areas of high demand in the Midwest may be attributed to corn ethanol manufacturing and wet corn milling operations. </w:t>
      </w:r>
      <w:r>
        <w:rPr>
          <w:rFonts w:cs="Times New Roman"/>
        </w:rPr>
        <w:t xml:space="preserve">As with the residential and commercial sectors, the manufacturing sector thermal demand will be considered in parallel with the location of geothermal resources in future geothermal </w:t>
      </w:r>
      <w:r w:rsidR="00F84BC9">
        <w:rPr>
          <w:rFonts w:cs="Times New Roman"/>
        </w:rPr>
        <w:t>DU</w:t>
      </w:r>
      <w:r>
        <w:rPr>
          <w:rFonts w:cs="Times New Roman"/>
        </w:rPr>
        <w:t xml:space="preserve"> potential studies.</w:t>
      </w:r>
    </w:p>
    <w:p w14:paraId="4858B6B6" w14:textId="77777777" w:rsidR="0070565B" w:rsidRPr="00373B00" w:rsidRDefault="0070565B" w:rsidP="00373B00"/>
    <w:p w14:paraId="6112D0C5" w14:textId="77777777" w:rsidR="00373B00" w:rsidRDefault="00373B00" w:rsidP="00373B00">
      <w:pPr>
        <w:keepNext/>
        <w:jc w:val="center"/>
      </w:pPr>
      <w:r>
        <w:rPr>
          <w:noProof/>
        </w:rPr>
        <w:drawing>
          <wp:inline distT="0" distB="0" distL="0" distR="0" wp14:anchorId="549CBC6B" wp14:editId="47E5A966">
            <wp:extent cx="4387709" cy="373989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facturing_demand_map.png"/>
                    <pic:cNvPicPr/>
                  </pic:nvPicPr>
                  <pic:blipFill>
                    <a:blip r:embed="rId35">
                      <a:extLst>
                        <a:ext uri="{28A0092B-C50C-407E-A947-70E740481C1C}">
                          <a14:useLocalDpi xmlns:a14="http://schemas.microsoft.com/office/drawing/2010/main" val="0"/>
                        </a:ext>
                      </a:extLst>
                    </a:blip>
                    <a:stretch>
                      <a:fillRect/>
                    </a:stretch>
                  </pic:blipFill>
                  <pic:spPr>
                    <a:xfrm>
                      <a:off x="0" y="0"/>
                      <a:ext cx="4387709" cy="3739896"/>
                    </a:xfrm>
                    <a:prstGeom prst="rect">
                      <a:avLst/>
                    </a:prstGeom>
                  </pic:spPr>
                </pic:pic>
              </a:graphicData>
            </a:graphic>
          </wp:inline>
        </w:drawing>
      </w:r>
    </w:p>
    <w:p w14:paraId="5FB2E67B" w14:textId="4172AB7F" w:rsidR="00373B00" w:rsidRDefault="00373B00" w:rsidP="00373B00">
      <w:pPr>
        <w:pStyle w:val="Caption"/>
        <w:jc w:val="center"/>
        <w:rPr>
          <w:rFonts w:cs="Times New Roman"/>
          <w:b w:val="0"/>
          <w:color w:val="auto"/>
        </w:rPr>
      </w:pPr>
      <w:bookmarkStart w:id="13" w:name="_Ref322856267"/>
      <w:r w:rsidRPr="00A15D31">
        <w:rPr>
          <w:rFonts w:cs="Times New Roman"/>
          <w:color w:val="auto"/>
        </w:rPr>
        <w:t xml:space="preserve">Figure </w:t>
      </w:r>
      <w:r w:rsidRPr="00A15D31">
        <w:rPr>
          <w:rFonts w:cs="Times New Roman"/>
          <w:color w:val="auto"/>
        </w:rPr>
        <w:fldChar w:fldCharType="begin"/>
      </w:r>
      <w:r w:rsidRPr="00A15D31">
        <w:rPr>
          <w:rFonts w:cs="Times New Roman"/>
          <w:color w:val="auto"/>
        </w:rPr>
        <w:instrText xml:space="preserve"> SEQ Figure \* ARABIC </w:instrText>
      </w:r>
      <w:r w:rsidRPr="00A15D31">
        <w:rPr>
          <w:rFonts w:cs="Times New Roman"/>
          <w:color w:val="auto"/>
        </w:rPr>
        <w:fldChar w:fldCharType="separate"/>
      </w:r>
      <w:r w:rsidR="00244063">
        <w:rPr>
          <w:rFonts w:cs="Times New Roman"/>
          <w:noProof/>
          <w:color w:val="auto"/>
        </w:rPr>
        <w:t>10</w:t>
      </w:r>
      <w:r w:rsidRPr="00A15D31">
        <w:rPr>
          <w:rFonts w:cs="Times New Roman"/>
          <w:color w:val="auto"/>
        </w:rPr>
        <w:fldChar w:fldCharType="end"/>
      </w:r>
      <w:bookmarkEnd w:id="13"/>
      <w:r w:rsidRPr="00A15D31">
        <w:rPr>
          <w:rFonts w:cs="Times New Roman"/>
          <w:color w:val="auto"/>
        </w:rPr>
        <w:t xml:space="preserve">: </w:t>
      </w:r>
      <w:r w:rsidRPr="00A15D31">
        <w:rPr>
          <w:rFonts w:cs="Times New Roman"/>
          <w:b w:val="0"/>
          <w:color w:val="auto"/>
        </w:rPr>
        <w:t xml:space="preserve">Industrial </w:t>
      </w:r>
      <w:r w:rsidR="00F31EE4" w:rsidRPr="00A15D31">
        <w:rPr>
          <w:rFonts w:cs="Times New Roman"/>
          <w:b w:val="0"/>
          <w:color w:val="auto"/>
        </w:rPr>
        <w:t>(</w:t>
      </w:r>
      <w:r w:rsidRPr="00A15D31">
        <w:rPr>
          <w:rFonts w:cs="Times New Roman"/>
          <w:b w:val="0"/>
          <w:color w:val="auto"/>
        </w:rPr>
        <w:t>manufacturing</w:t>
      </w:r>
      <w:r w:rsidR="00F31EE4" w:rsidRPr="00A15D31">
        <w:rPr>
          <w:rFonts w:cs="Times New Roman"/>
          <w:b w:val="0"/>
          <w:color w:val="auto"/>
        </w:rPr>
        <w:t>)</w:t>
      </w:r>
      <w:r w:rsidRPr="00A15D31">
        <w:rPr>
          <w:rFonts w:cs="Times New Roman"/>
          <w:b w:val="0"/>
          <w:color w:val="auto"/>
        </w:rPr>
        <w:t xml:space="preserve"> sector thermal demand map of United States</w:t>
      </w:r>
    </w:p>
    <w:p w14:paraId="5B9D6648" w14:textId="77777777" w:rsidR="0070565B" w:rsidRDefault="0070565B" w:rsidP="0070565B">
      <w:pPr>
        <w:rPr>
          <w:rFonts w:cs="Times New Roman"/>
        </w:rPr>
      </w:pPr>
      <w:r>
        <w:rPr>
          <w:rFonts w:cs="Times New Roman"/>
        </w:rPr>
        <w:t>In the agricultural sector, the demand map shows clear distinctions where greenhouse space heating is most prevalent, including the west coast and much of Florida. While California and Florida, to some extent, are certainly states with well-known records of agricultural and farming operations, further analysis is necessary to understand the existence of greater demand in the less well-known areas, such as the Pacific Northwest. In addition, further research would allow for a better understanding of the lack of demand in the central United States, where the climate would seemingly require greenhouses for those specific types of agricultural operations.</w:t>
      </w:r>
    </w:p>
    <w:p w14:paraId="4069BB96" w14:textId="77777777" w:rsidR="0070565B" w:rsidRDefault="0070565B" w:rsidP="0070565B">
      <w:pPr>
        <w:rPr>
          <w:rFonts w:cs="Times New Roman"/>
        </w:rPr>
      </w:pPr>
    </w:p>
    <w:p w14:paraId="334E44C2" w14:textId="77777777" w:rsidR="0070565B" w:rsidRDefault="0070565B" w:rsidP="0070565B">
      <w:pPr>
        <w:rPr>
          <w:rFonts w:cs="Times New Roman"/>
          <w:b/>
          <w:sz w:val="28"/>
          <w:szCs w:val="28"/>
        </w:rPr>
      </w:pPr>
      <w:r>
        <w:rPr>
          <w:rFonts w:cs="Times New Roman"/>
        </w:rPr>
        <w:t>As a final result, the data used to create the maps and tables in this paper have been uploaded to the GDR for public use in future studies.</w:t>
      </w:r>
    </w:p>
    <w:p w14:paraId="6D652084" w14:textId="77777777" w:rsidR="0070565B" w:rsidRPr="0070565B" w:rsidRDefault="0070565B" w:rsidP="00070B60"/>
    <w:p w14:paraId="35B83B85" w14:textId="320407D0" w:rsidR="00B76366" w:rsidRDefault="00B76366" w:rsidP="00427C94">
      <w:pPr>
        <w:keepNext/>
        <w:jc w:val="center"/>
      </w:pPr>
      <w:r>
        <w:rPr>
          <w:noProof/>
        </w:rPr>
        <w:lastRenderedPageBreak/>
        <w:drawing>
          <wp:inline distT="0" distB="0" distL="0" distR="0" wp14:anchorId="63B940BB" wp14:editId="2ED1BA9F">
            <wp:extent cx="4412084" cy="373989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_demand_map.png"/>
                    <pic:cNvPicPr/>
                  </pic:nvPicPr>
                  <pic:blipFill>
                    <a:blip r:embed="rId36">
                      <a:extLst>
                        <a:ext uri="{28A0092B-C50C-407E-A947-70E740481C1C}">
                          <a14:useLocalDpi xmlns:a14="http://schemas.microsoft.com/office/drawing/2010/main" val="0"/>
                        </a:ext>
                      </a:extLst>
                    </a:blip>
                    <a:stretch>
                      <a:fillRect/>
                    </a:stretch>
                  </pic:blipFill>
                  <pic:spPr>
                    <a:xfrm>
                      <a:off x="0" y="0"/>
                      <a:ext cx="4412084" cy="3739896"/>
                    </a:xfrm>
                    <a:prstGeom prst="rect">
                      <a:avLst/>
                    </a:prstGeom>
                  </pic:spPr>
                </pic:pic>
              </a:graphicData>
            </a:graphic>
          </wp:inline>
        </w:drawing>
      </w:r>
    </w:p>
    <w:p w14:paraId="00167F6C" w14:textId="6678842C" w:rsidR="00AF3531" w:rsidRPr="00A15D31" w:rsidRDefault="00B76366" w:rsidP="00B76366">
      <w:pPr>
        <w:pStyle w:val="Caption"/>
        <w:jc w:val="center"/>
        <w:rPr>
          <w:b w:val="0"/>
          <w:color w:val="auto"/>
        </w:rPr>
      </w:pPr>
      <w:r w:rsidRPr="00A15D31">
        <w:rPr>
          <w:color w:val="auto"/>
        </w:rPr>
        <w:t xml:space="preserve">Figure </w:t>
      </w:r>
      <w:r w:rsidRPr="00A15D31">
        <w:rPr>
          <w:color w:val="auto"/>
        </w:rPr>
        <w:fldChar w:fldCharType="begin"/>
      </w:r>
      <w:r w:rsidRPr="00A15D31">
        <w:rPr>
          <w:color w:val="auto"/>
        </w:rPr>
        <w:instrText xml:space="preserve"> SEQ Figure \* ARABIC </w:instrText>
      </w:r>
      <w:r w:rsidRPr="00A15D31">
        <w:rPr>
          <w:color w:val="auto"/>
        </w:rPr>
        <w:fldChar w:fldCharType="separate"/>
      </w:r>
      <w:r w:rsidR="00244063">
        <w:rPr>
          <w:noProof/>
          <w:color w:val="auto"/>
        </w:rPr>
        <w:t>11</w:t>
      </w:r>
      <w:r w:rsidRPr="00A15D31">
        <w:rPr>
          <w:color w:val="auto"/>
        </w:rPr>
        <w:fldChar w:fldCharType="end"/>
      </w:r>
      <w:r w:rsidRPr="00A15D31">
        <w:rPr>
          <w:color w:val="auto"/>
        </w:rPr>
        <w:t xml:space="preserve">: </w:t>
      </w:r>
      <w:r w:rsidR="00213004">
        <w:rPr>
          <w:b w:val="0"/>
          <w:color w:val="auto"/>
        </w:rPr>
        <w:t xml:space="preserve">Greenhouse space heating </w:t>
      </w:r>
      <w:r w:rsidRPr="00A15D31">
        <w:rPr>
          <w:b w:val="0"/>
          <w:color w:val="auto"/>
        </w:rPr>
        <w:t>demand map of United States</w:t>
      </w:r>
    </w:p>
    <w:p w14:paraId="5EBA8FD0" w14:textId="23D538C6" w:rsidR="007A06E3" w:rsidRPr="00A15D31" w:rsidRDefault="007A06E3" w:rsidP="007A06E3">
      <w:pPr>
        <w:pStyle w:val="Caption"/>
        <w:keepNext/>
        <w:jc w:val="center"/>
        <w:rPr>
          <w:color w:val="auto"/>
        </w:rPr>
      </w:pPr>
      <w:bookmarkStart w:id="14" w:name="_Ref323482530"/>
      <w:r w:rsidRPr="00A15D31">
        <w:rPr>
          <w:color w:val="auto"/>
        </w:rPr>
        <w:t xml:space="preserve">Table </w:t>
      </w:r>
      <w:r w:rsidR="00D05313" w:rsidRPr="00A15D31">
        <w:rPr>
          <w:color w:val="auto"/>
        </w:rPr>
        <w:fldChar w:fldCharType="begin"/>
      </w:r>
      <w:r w:rsidR="00D05313" w:rsidRPr="00A15D31">
        <w:rPr>
          <w:color w:val="auto"/>
        </w:rPr>
        <w:instrText xml:space="preserve"> SEQ Table \* ARABIC </w:instrText>
      </w:r>
      <w:r w:rsidR="00D05313" w:rsidRPr="00A15D31">
        <w:rPr>
          <w:color w:val="auto"/>
        </w:rPr>
        <w:fldChar w:fldCharType="separate"/>
      </w:r>
      <w:r w:rsidR="00244063">
        <w:rPr>
          <w:noProof/>
          <w:color w:val="auto"/>
        </w:rPr>
        <w:t>7</w:t>
      </w:r>
      <w:r w:rsidR="00D05313" w:rsidRPr="00A15D31">
        <w:rPr>
          <w:noProof/>
          <w:color w:val="auto"/>
        </w:rPr>
        <w:fldChar w:fldCharType="end"/>
      </w:r>
      <w:bookmarkEnd w:id="14"/>
      <w:r w:rsidRPr="00A15D31">
        <w:rPr>
          <w:color w:val="auto"/>
        </w:rPr>
        <w:t xml:space="preserve">: </w:t>
      </w:r>
      <w:r w:rsidRPr="00A15D31">
        <w:rPr>
          <w:b w:val="0"/>
          <w:color w:val="auto"/>
        </w:rPr>
        <w:t xml:space="preserve">Top </w:t>
      </w:r>
      <w:r w:rsidR="00297D42">
        <w:rPr>
          <w:b w:val="0"/>
          <w:color w:val="auto"/>
        </w:rPr>
        <w:t>three</w:t>
      </w:r>
      <w:r w:rsidR="00297D42" w:rsidRPr="00A15D31">
        <w:rPr>
          <w:b w:val="0"/>
          <w:color w:val="auto"/>
        </w:rPr>
        <w:t xml:space="preserve"> </w:t>
      </w:r>
      <w:r w:rsidRPr="00A15D31">
        <w:rPr>
          <w:b w:val="0"/>
          <w:color w:val="auto"/>
        </w:rPr>
        <w:t>counties by sector for total thermal demand</w:t>
      </w:r>
    </w:p>
    <w:tbl>
      <w:tblPr>
        <w:tblW w:w="4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652"/>
      </w:tblGrid>
      <w:tr w:rsidR="0081151A" w:rsidRPr="007C5459" w14:paraId="37BF3AC3" w14:textId="77777777" w:rsidTr="00526B43">
        <w:trPr>
          <w:trHeight w:val="300"/>
          <w:jc w:val="center"/>
        </w:trPr>
        <w:tc>
          <w:tcPr>
            <w:tcW w:w="1300" w:type="dxa"/>
            <w:shd w:val="clear" w:color="auto" w:fill="4F81BD" w:themeFill="accent1"/>
            <w:noWrap/>
            <w:vAlign w:val="center"/>
            <w:hideMark/>
          </w:tcPr>
          <w:p w14:paraId="6084A730" w14:textId="77777777" w:rsidR="0081151A" w:rsidRPr="007C5459" w:rsidRDefault="0081151A" w:rsidP="00526B43">
            <w:pPr>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State</w:t>
            </w:r>
          </w:p>
        </w:tc>
        <w:tc>
          <w:tcPr>
            <w:tcW w:w="1300" w:type="dxa"/>
            <w:shd w:val="clear" w:color="auto" w:fill="4F81BD" w:themeFill="accent1"/>
            <w:noWrap/>
            <w:vAlign w:val="center"/>
            <w:hideMark/>
          </w:tcPr>
          <w:p w14:paraId="5C0ED3A6" w14:textId="77777777" w:rsidR="0081151A" w:rsidRPr="007C5459" w:rsidRDefault="0081151A" w:rsidP="00526B43">
            <w:pPr>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County</w:t>
            </w:r>
          </w:p>
        </w:tc>
        <w:tc>
          <w:tcPr>
            <w:tcW w:w="1652" w:type="dxa"/>
            <w:shd w:val="clear" w:color="auto" w:fill="4F81BD" w:themeFill="accent1"/>
            <w:noWrap/>
            <w:vAlign w:val="center"/>
            <w:hideMark/>
          </w:tcPr>
          <w:p w14:paraId="3FDA60C5" w14:textId="1DF0822E" w:rsidR="0081151A" w:rsidRPr="007C5459" w:rsidRDefault="0081151A" w:rsidP="00297D42">
            <w:pPr>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Total County Demand (</w:t>
            </w:r>
            <w:r w:rsidR="00297D42">
              <w:rPr>
                <w:rFonts w:ascii="Arial" w:eastAsia="Times New Roman" w:hAnsi="Arial" w:cs="Arial"/>
                <w:b/>
                <w:color w:val="FFFFFF" w:themeColor="background1"/>
                <w:sz w:val="20"/>
                <w:szCs w:val="20"/>
              </w:rPr>
              <w:t xml:space="preserve">trillion </w:t>
            </w:r>
            <w:r w:rsidR="008F7D6F">
              <w:rPr>
                <w:rFonts w:ascii="Arial" w:eastAsia="Times New Roman" w:hAnsi="Arial" w:cs="Arial"/>
                <w:b/>
                <w:color w:val="FFFFFF" w:themeColor="background1"/>
                <w:sz w:val="20"/>
                <w:szCs w:val="20"/>
              </w:rPr>
              <w:t>Btu</w:t>
            </w:r>
            <w:r>
              <w:rPr>
                <w:rFonts w:ascii="Arial" w:eastAsia="Times New Roman" w:hAnsi="Arial" w:cs="Arial"/>
                <w:b/>
                <w:color w:val="FFFFFF" w:themeColor="background1"/>
                <w:sz w:val="20"/>
                <w:szCs w:val="20"/>
              </w:rPr>
              <w:t>)</w:t>
            </w:r>
          </w:p>
        </w:tc>
      </w:tr>
      <w:tr w:rsidR="0081151A" w:rsidRPr="007C5459" w14:paraId="5C05C1E0" w14:textId="77777777" w:rsidTr="00A15D31">
        <w:trPr>
          <w:trHeight w:val="300"/>
          <w:jc w:val="center"/>
        </w:trPr>
        <w:tc>
          <w:tcPr>
            <w:tcW w:w="4252" w:type="dxa"/>
            <w:gridSpan w:val="3"/>
            <w:shd w:val="clear" w:color="auto" w:fill="C6D9F1" w:themeFill="text2" w:themeFillTint="33"/>
            <w:noWrap/>
            <w:vAlign w:val="center"/>
            <w:hideMark/>
          </w:tcPr>
          <w:p w14:paraId="2CAF4C10" w14:textId="7195CC47" w:rsidR="0081151A" w:rsidRPr="00526B43" w:rsidRDefault="0081151A" w:rsidP="00526B43">
            <w:pPr>
              <w:jc w:val="center"/>
              <w:rPr>
                <w:rFonts w:ascii="Arial" w:eastAsia="Times New Roman" w:hAnsi="Arial" w:cs="Arial"/>
                <w:b/>
                <w:color w:val="000000"/>
                <w:sz w:val="20"/>
                <w:szCs w:val="18"/>
              </w:rPr>
            </w:pPr>
            <w:r w:rsidRPr="00526B43">
              <w:rPr>
                <w:rFonts w:ascii="Arial" w:eastAsia="Times New Roman" w:hAnsi="Arial" w:cs="Arial"/>
                <w:b/>
                <w:color w:val="000000"/>
                <w:sz w:val="20"/>
                <w:szCs w:val="18"/>
              </w:rPr>
              <w:t>Residential Sector</w:t>
            </w:r>
          </w:p>
        </w:tc>
      </w:tr>
      <w:tr w:rsidR="0081151A" w:rsidRPr="007C5459" w14:paraId="24BB6C1B" w14:textId="77777777" w:rsidTr="00526B43">
        <w:trPr>
          <w:trHeight w:val="300"/>
          <w:jc w:val="center"/>
        </w:trPr>
        <w:tc>
          <w:tcPr>
            <w:tcW w:w="1300" w:type="dxa"/>
            <w:shd w:val="clear" w:color="auto" w:fill="auto"/>
            <w:noWrap/>
            <w:vAlign w:val="center"/>
            <w:hideMark/>
          </w:tcPr>
          <w:p w14:paraId="63EB93D3" w14:textId="4ECEDD70" w:rsidR="0081151A" w:rsidRPr="00C90B4C" w:rsidRDefault="007A06E3" w:rsidP="00526B43">
            <w:pPr>
              <w:jc w:val="center"/>
              <w:rPr>
                <w:rFonts w:ascii="Arial" w:eastAsia="Times New Roman" w:hAnsi="Arial" w:cs="Arial"/>
                <w:color w:val="000000"/>
                <w:sz w:val="18"/>
                <w:szCs w:val="18"/>
              </w:rPr>
            </w:pPr>
            <w:r w:rsidRPr="00C90B4C">
              <w:rPr>
                <w:rFonts w:ascii="Arial" w:eastAsia="Times New Roman" w:hAnsi="Arial" w:cs="Arial"/>
                <w:color w:val="000000"/>
                <w:sz w:val="18"/>
                <w:szCs w:val="18"/>
              </w:rPr>
              <w:t>Illinois</w:t>
            </w:r>
          </w:p>
        </w:tc>
        <w:tc>
          <w:tcPr>
            <w:tcW w:w="1300" w:type="dxa"/>
            <w:shd w:val="clear" w:color="auto" w:fill="auto"/>
            <w:noWrap/>
            <w:vAlign w:val="center"/>
            <w:hideMark/>
          </w:tcPr>
          <w:p w14:paraId="5F93039B" w14:textId="50C56688" w:rsidR="0081151A" w:rsidRPr="00C90B4C" w:rsidRDefault="007A06E3" w:rsidP="00526B43">
            <w:pPr>
              <w:jc w:val="center"/>
              <w:rPr>
                <w:rFonts w:ascii="Arial" w:eastAsia="Times New Roman" w:hAnsi="Arial" w:cs="Arial"/>
                <w:color w:val="000000"/>
                <w:sz w:val="18"/>
                <w:szCs w:val="18"/>
              </w:rPr>
            </w:pPr>
            <w:r w:rsidRPr="00C90B4C">
              <w:rPr>
                <w:rFonts w:ascii="Arial" w:eastAsia="Times New Roman" w:hAnsi="Arial" w:cs="Arial"/>
                <w:color w:val="000000"/>
                <w:sz w:val="18"/>
                <w:szCs w:val="18"/>
              </w:rPr>
              <w:t>Cook</w:t>
            </w:r>
          </w:p>
        </w:tc>
        <w:tc>
          <w:tcPr>
            <w:tcW w:w="1652" w:type="dxa"/>
            <w:shd w:val="clear" w:color="auto" w:fill="auto"/>
            <w:noWrap/>
            <w:vAlign w:val="center"/>
            <w:hideMark/>
          </w:tcPr>
          <w:p w14:paraId="25FE381D" w14:textId="625019CF" w:rsidR="0081151A" w:rsidRPr="00C90B4C" w:rsidRDefault="007A06E3" w:rsidP="000451ED">
            <w:pPr>
              <w:jc w:val="center"/>
              <w:rPr>
                <w:rFonts w:ascii="Arial" w:eastAsia="Times New Roman" w:hAnsi="Arial" w:cs="Arial"/>
                <w:color w:val="000000"/>
                <w:sz w:val="18"/>
                <w:szCs w:val="18"/>
              </w:rPr>
            </w:pPr>
            <w:r w:rsidRPr="00C90B4C">
              <w:rPr>
                <w:rFonts w:ascii="Arial" w:eastAsia="Times New Roman" w:hAnsi="Arial" w:cs="Arial"/>
                <w:color w:val="000000"/>
                <w:sz w:val="18"/>
                <w:szCs w:val="18"/>
              </w:rPr>
              <w:t>169.08</w:t>
            </w:r>
          </w:p>
        </w:tc>
      </w:tr>
      <w:tr w:rsidR="0081151A" w:rsidRPr="007C5459" w14:paraId="18490600" w14:textId="77777777" w:rsidTr="00526B43">
        <w:trPr>
          <w:trHeight w:val="300"/>
          <w:jc w:val="center"/>
        </w:trPr>
        <w:tc>
          <w:tcPr>
            <w:tcW w:w="1300" w:type="dxa"/>
            <w:shd w:val="clear" w:color="auto" w:fill="auto"/>
            <w:noWrap/>
            <w:vAlign w:val="center"/>
            <w:hideMark/>
          </w:tcPr>
          <w:p w14:paraId="452F0ACB" w14:textId="7111F44A" w:rsidR="0081151A" w:rsidRPr="00C90B4C" w:rsidRDefault="007A06E3" w:rsidP="00526B43">
            <w:pPr>
              <w:jc w:val="center"/>
              <w:rPr>
                <w:rFonts w:ascii="Arial" w:eastAsia="Times New Roman" w:hAnsi="Arial" w:cs="Arial"/>
                <w:color w:val="000000"/>
                <w:sz w:val="18"/>
                <w:szCs w:val="18"/>
              </w:rPr>
            </w:pPr>
            <w:r w:rsidRPr="00C90B4C">
              <w:rPr>
                <w:rFonts w:ascii="Arial" w:eastAsia="Times New Roman" w:hAnsi="Arial" w:cs="Arial"/>
                <w:color w:val="000000"/>
                <w:sz w:val="18"/>
                <w:szCs w:val="18"/>
              </w:rPr>
              <w:t>California</w:t>
            </w:r>
          </w:p>
        </w:tc>
        <w:tc>
          <w:tcPr>
            <w:tcW w:w="1300" w:type="dxa"/>
            <w:shd w:val="clear" w:color="auto" w:fill="auto"/>
            <w:noWrap/>
            <w:vAlign w:val="center"/>
            <w:hideMark/>
          </w:tcPr>
          <w:p w14:paraId="38BDF66C" w14:textId="3FFB4640" w:rsidR="0081151A" w:rsidRPr="00C90B4C" w:rsidRDefault="007A06E3" w:rsidP="00526B43">
            <w:pPr>
              <w:jc w:val="center"/>
              <w:rPr>
                <w:rFonts w:ascii="Arial" w:eastAsia="Times New Roman" w:hAnsi="Arial" w:cs="Arial"/>
                <w:color w:val="000000"/>
                <w:sz w:val="18"/>
                <w:szCs w:val="18"/>
              </w:rPr>
            </w:pPr>
            <w:r w:rsidRPr="00C90B4C">
              <w:rPr>
                <w:rFonts w:ascii="Arial" w:eastAsia="Times New Roman" w:hAnsi="Arial" w:cs="Arial"/>
                <w:color w:val="000000"/>
                <w:sz w:val="18"/>
                <w:szCs w:val="18"/>
              </w:rPr>
              <w:t>Los Angeles</w:t>
            </w:r>
          </w:p>
        </w:tc>
        <w:tc>
          <w:tcPr>
            <w:tcW w:w="1652" w:type="dxa"/>
            <w:shd w:val="clear" w:color="auto" w:fill="auto"/>
            <w:noWrap/>
            <w:vAlign w:val="center"/>
            <w:hideMark/>
          </w:tcPr>
          <w:p w14:paraId="6AA35D8E" w14:textId="3DAAF7FF" w:rsidR="0081151A" w:rsidRPr="00C90B4C" w:rsidRDefault="007A06E3" w:rsidP="000451ED">
            <w:pPr>
              <w:jc w:val="center"/>
              <w:rPr>
                <w:rFonts w:ascii="Arial" w:eastAsia="Times New Roman" w:hAnsi="Arial" w:cs="Arial"/>
                <w:color w:val="000000"/>
                <w:sz w:val="18"/>
                <w:szCs w:val="18"/>
              </w:rPr>
            </w:pPr>
            <w:r w:rsidRPr="00C90B4C">
              <w:rPr>
                <w:rFonts w:ascii="Arial" w:eastAsia="Times New Roman" w:hAnsi="Arial" w:cs="Arial"/>
                <w:color w:val="000000"/>
                <w:sz w:val="18"/>
                <w:szCs w:val="18"/>
              </w:rPr>
              <w:t>95.83</w:t>
            </w:r>
          </w:p>
        </w:tc>
      </w:tr>
      <w:tr w:rsidR="0081151A" w:rsidRPr="007C5459" w14:paraId="0D83247B" w14:textId="77777777" w:rsidTr="00526B43">
        <w:trPr>
          <w:trHeight w:val="300"/>
          <w:jc w:val="center"/>
        </w:trPr>
        <w:tc>
          <w:tcPr>
            <w:tcW w:w="1300" w:type="dxa"/>
            <w:shd w:val="clear" w:color="auto" w:fill="auto"/>
            <w:noWrap/>
            <w:vAlign w:val="center"/>
            <w:hideMark/>
          </w:tcPr>
          <w:p w14:paraId="4477F9AD" w14:textId="284A2871" w:rsidR="0081151A" w:rsidRPr="00C90B4C" w:rsidRDefault="007A06E3" w:rsidP="00526B43">
            <w:pPr>
              <w:jc w:val="center"/>
              <w:rPr>
                <w:rFonts w:ascii="Arial" w:eastAsia="Times New Roman" w:hAnsi="Arial" w:cs="Arial"/>
                <w:color w:val="000000"/>
                <w:sz w:val="18"/>
                <w:szCs w:val="18"/>
              </w:rPr>
            </w:pPr>
            <w:r w:rsidRPr="00C90B4C">
              <w:rPr>
                <w:rFonts w:ascii="Arial" w:eastAsia="Times New Roman" w:hAnsi="Arial" w:cs="Arial"/>
                <w:color w:val="000000"/>
                <w:sz w:val="18"/>
                <w:szCs w:val="18"/>
              </w:rPr>
              <w:t>Michigan</w:t>
            </w:r>
          </w:p>
        </w:tc>
        <w:tc>
          <w:tcPr>
            <w:tcW w:w="1300" w:type="dxa"/>
            <w:shd w:val="clear" w:color="auto" w:fill="auto"/>
            <w:noWrap/>
            <w:vAlign w:val="center"/>
            <w:hideMark/>
          </w:tcPr>
          <w:p w14:paraId="49B24D38" w14:textId="25C2CCBC" w:rsidR="0081151A" w:rsidRPr="00C90B4C" w:rsidRDefault="007A06E3" w:rsidP="00526B43">
            <w:pPr>
              <w:jc w:val="center"/>
              <w:rPr>
                <w:rFonts w:ascii="Arial" w:eastAsia="Times New Roman" w:hAnsi="Arial" w:cs="Arial"/>
                <w:color w:val="000000"/>
                <w:sz w:val="18"/>
                <w:szCs w:val="18"/>
              </w:rPr>
            </w:pPr>
            <w:r w:rsidRPr="00C90B4C">
              <w:rPr>
                <w:rFonts w:ascii="Arial" w:eastAsia="Times New Roman" w:hAnsi="Arial" w:cs="Arial"/>
                <w:color w:val="000000"/>
                <w:sz w:val="18"/>
                <w:szCs w:val="18"/>
              </w:rPr>
              <w:t>Wayne</w:t>
            </w:r>
          </w:p>
        </w:tc>
        <w:tc>
          <w:tcPr>
            <w:tcW w:w="1652" w:type="dxa"/>
            <w:shd w:val="clear" w:color="auto" w:fill="auto"/>
            <w:noWrap/>
            <w:vAlign w:val="center"/>
            <w:hideMark/>
          </w:tcPr>
          <w:p w14:paraId="58494259" w14:textId="151F46F1" w:rsidR="0081151A" w:rsidRPr="00C90B4C" w:rsidRDefault="007A06E3" w:rsidP="00526B43">
            <w:pPr>
              <w:jc w:val="center"/>
              <w:rPr>
                <w:rFonts w:ascii="Arial" w:eastAsia="Times New Roman" w:hAnsi="Arial" w:cs="Arial"/>
                <w:color w:val="000000"/>
                <w:sz w:val="18"/>
                <w:szCs w:val="18"/>
              </w:rPr>
            </w:pPr>
            <w:r w:rsidRPr="00C90B4C">
              <w:rPr>
                <w:rFonts w:ascii="Arial" w:eastAsia="Times New Roman" w:hAnsi="Arial" w:cs="Arial"/>
                <w:color w:val="000000"/>
                <w:sz w:val="18"/>
                <w:szCs w:val="18"/>
              </w:rPr>
              <w:t>61.30</w:t>
            </w:r>
          </w:p>
        </w:tc>
      </w:tr>
      <w:tr w:rsidR="00526B43" w:rsidRPr="007C5459" w14:paraId="1184BE22" w14:textId="77777777" w:rsidTr="00A15D31">
        <w:trPr>
          <w:trHeight w:val="300"/>
          <w:jc w:val="center"/>
        </w:trPr>
        <w:tc>
          <w:tcPr>
            <w:tcW w:w="4252" w:type="dxa"/>
            <w:gridSpan w:val="3"/>
            <w:shd w:val="clear" w:color="auto" w:fill="C6D9F1" w:themeFill="text2" w:themeFillTint="33"/>
            <w:noWrap/>
            <w:vAlign w:val="center"/>
          </w:tcPr>
          <w:p w14:paraId="4FB2982C" w14:textId="7AB73127" w:rsidR="00526B43" w:rsidRPr="00C90B4C" w:rsidRDefault="00526B43" w:rsidP="00526B43">
            <w:pPr>
              <w:jc w:val="center"/>
              <w:rPr>
                <w:rFonts w:ascii="Arial" w:eastAsia="Times New Roman" w:hAnsi="Arial" w:cs="Arial"/>
                <w:b/>
                <w:color w:val="000000"/>
                <w:sz w:val="18"/>
                <w:szCs w:val="18"/>
              </w:rPr>
            </w:pPr>
            <w:r w:rsidRPr="00C90B4C">
              <w:rPr>
                <w:rFonts w:ascii="Arial" w:eastAsia="Times New Roman" w:hAnsi="Arial" w:cs="Arial"/>
                <w:b/>
                <w:color w:val="000000"/>
                <w:sz w:val="20"/>
                <w:szCs w:val="18"/>
              </w:rPr>
              <w:t>Commercial Sector</w:t>
            </w:r>
          </w:p>
        </w:tc>
      </w:tr>
      <w:tr w:rsidR="0081151A" w:rsidRPr="007C5459" w14:paraId="329F0435" w14:textId="77777777" w:rsidTr="00526B43">
        <w:trPr>
          <w:trHeight w:val="300"/>
          <w:jc w:val="center"/>
        </w:trPr>
        <w:tc>
          <w:tcPr>
            <w:tcW w:w="1300" w:type="dxa"/>
            <w:shd w:val="clear" w:color="auto" w:fill="auto"/>
            <w:noWrap/>
            <w:vAlign w:val="center"/>
          </w:tcPr>
          <w:p w14:paraId="2C7EE948" w14:textId="23401CE2" w:rsidR="0081151A" w:rsidRPr="00C90B4C" w:rsidRDefault="0056142C" w:rsidP="00526B43">
            <w:pPr>
              <w:jc w:val="center"/>
              <w:rPr>
                <w:rFonts w:ascii="Arial" w:hAnsi="Arial" w:cs="Arial"/>
                <w:sz w:val="18"/>
                <w:szCs w:val="18"/>
              </w:rPr>
            </w:pPr>
            <w:r w:rsidRPr="00C90B4C">
              <w:rPr>
                <w:rFonts w:ascii="Arial" w:hAnsi="Arial" w:cs="Arial"/>
                <w:sz w:val="18"/>
                <w:szCs w:val="18"/>
              </w:rPr>
              <w:t>Illinois</w:t>
            </w:r>
          </w:p>
        </w:tc>
        <w:tc>
          <w:tcPr>
            <w:tcW w:w="1300" w:type="dxa"/>
            <w:shd w:val="clear" w:color="auto" w:fill="auto"/>
            <w:noWrap/>
            <w:vAlign w:val="center"/>
          </w:tcPr>
          <w:p w14:paraId="1BC83B36" w14:textId="6DA0C824" w:rsidR="0081151A" w:rsidRPr="00C90B4C" w:rsidRDefault="0056142C" w:rsidP="00526B43">
            <w:pPr>
              <w:jc w:val="center"/>
              <w:rPr>
                <w:rFonts w:ascii="Arial" w:hAnsi="Arial" w:cs="Arial"/>
                <w:sz w:val="18"/>
                <w:szCs w:val="18"/>
              </w:rPr>
            </w:pPr>
            <w:r w:rsidRPr="00C90B4C">
              <w:rPr>
                <w:rFonts w:ascii="Arial" w:hAnsi="Arial" w:cs="Arial"/>
                <w:sz w:val="18"/>
                <w:szCs w:val="18"/>
              </w:rPr>
              <w:t>Cook</w:t>
            </w:r>
          </w:p>
        </w:tc>
        <w:tc>
          <w:tcPr>
            <w:tcW w:w="1652" w:type="dxa"/>
            <w:shd w:val="clear" w:color="auto" w:fill="auto"/>
            <w:noWrap/>
            <w:vAlign w:val="center"/>
          </w:tcPr>
          <w:p w14:paraId="6B94481A" w14:textId="0F2B8BEA" w:rsidR="0081151A" w:rsidRPr="00C90B4C" w:rsidRDefault="0056142C" w:rsidP="00526B43">
            <w:pPr>
              <w:jc w:val="center"/>
              <w:rPr>
                <w:rFonts w:ascii="Arial" w:hAnsi="Arial" w:cs="Arial"/>
                <w:sz w:val="18"/>
                <w:szCs w:val="18"/>
              </w:rPr>
            </w:pPr>
            <w:r w:rsidRPr="00C90B4C">
              <w:rPr>
                <w:rFonts w:ascii="Arial" w:hAnsi="Arial" w:cs="Arial"/>
                <w:sz w:val="18"/>
                <w:szCs w:val="18"/>
              </w:rPr>
              <w:t>80.71</w:t>
            </w:r>
          </w:p>
        </w:tc>
      </w:tr>
      <w:tr w:rsidR="0081151A" w:rsidRPr="007C5459" w14:paraId="4A8E8CEE" w14:textId="77777777" w:rsidTr="00526B43">
        <w:trPr>
          <w:trHeight w:val="300"/>
          <w:jc w:val="center"/>
        </w:trPr>
        <w:tc>
          <w:tcPr>
            <w:tcW w:w="1300" w:type="dxa"/>
            <w:shd w:val="clear" w:color="auto" w:fill="auto"/>
            <w:noWrap/>
            <w:vAlign w:val="center"/>
          </w:tcPr>
          <w:p w14:paraId="19713B59" w14:textId="156C9EA3" w:rsidR="0081151A" w:rsidRPr="00C90B4C" w:rsidRDefault="0056142C" w:rsidP="00526B43">
            <w:pPr>
              <w:jc w:val="center"/>
              <w:rPr>
                <w:rFonts w:ascii="Arial" w:hAnsi="Arial" w:cs="Arial"/>
                <w:sz w:val="18"/>
                <w:szCs w:val="18"/>
              </w:rPr>
            </w:pPr>
            <w:r w:rsidRPr="00C90B4C">
              <w:rPr>
                <w:rFonts w:ascii="Arial" w:hAnsi="Arial" w:cs="Arial"/>
                <w:sz w:val="18"/>
                <w:szCs w:val="18"/>
              </w:rPr>
              <w:t>New York</w:t>
            </w:r>
          </w:p>
        </w:tc>
        <w:tc>
          <w:tcPr>
            <w:tcW w:w="1300" w:type="dxa"/>
            <w:shd w:val="clear" w:color="auto" w:fill="auto"/>
            <w:noWrap/>
            <w:vAlign w:val="center"/>
          </w:tcPr>
          <w:p w14:paraId="27FE93DC" w14:textId="030E9E4C" w:rsidR="0081151A" w:rsidRPr="00C90B4C" w:rsidRDefault="0056142C" w:rsidP="00526B43">
            <w:pPr>
              <w:jc w:val="center"/>
              <w:rPr>
                <w:rFonts w:ascii="Arial" w:hAnsi="Arial" w:cs="Arial"/>
                <w:sz w:val="18"/>
                <w:szCs w:val="18"/>
              </w:rPr>
            </w:pPr>
            <w:r w:rsidRPr="00C90B4C">
              <w:rPr>
                <w:rFonts w:ascii="Arial" w:hAnsi="Arial" w:cs="Arial"/>
                <w:sz w:val="18"/>
                <w:szCs w:val="18"/>
              </w:rPr>
              <w:t>New York</w:t>
            </w:r>
          </w:p>
        </w:tc>
        <w:tc>
          <w:tcPr>
            <w:tcW w:w="1652" w:type="dxa"/>
            <w:shd w:val="clear" w:color="auto" w:fill="auto"/>
            <w:noWrap/>
            <w:vAlign w:val="center"/>
          </w:tcPr>
          <w:p w14:paraId="6C7B202F" w14:textId="07E10257" w:rsidR="0081151A" w:rsidRPr="00C90B4C" w:rsidRDefault="0056142C" w:rsidP="00526B43">
            <w:pPr>
              <w:jc w:val="center"/>
              <w:rPr>
                <w:rFonts w:ascii="Arial" w:hAnsi="Arial" w:cs="Arial"/>
                <w:sz w:val="18"/>
                <w:szCs w:val="18"/>
              </w:rPr>
            </w:pPr>
            <w:r w:rsidRPr="00C90B4C">
              <w:rPr>
                <w:rFonts w:ascii="Arial" w:hAnsi="Arial" w:cs="Arial"/>
                <w:sz w:val="18"/>
                <w:szCs w:val="18"/>
              </w:rPr>
              <w:t>41.28</w:t>
            </w:r>
          </w:p>
        </w:tc>
      </w:tr>
      <w:tr w:rsidR="0081151A" w:rsidRPr="007C5459" w14:paraId="243B9CB4" w14:textId="77777777" w:rsidTr="00526B43">
        <w:trPr>
          <w:trHeight w:val="300"/>
          <w:jc w:val="center"/>
        </w:trPr>
        <w:tc>
          <w:tcPr>
            <w:tcW w:w="1300" w:type="dxa"/>
            <w:shd w:val="clear" w:color="auto" w:fill="auto"/>
            <w:noWrap/>
            <w:vAlign w:val="center"/>
          </w:tcPr>
          <w:p w14:paraId="59C168FE" w14:textId="4C7D419F" w:rsidR="0081151A" w:rsidRPr="00C90B4C" w:rsidRDefault="0056142C" w:rsidP="00526B43">
            <w:pPr>
              <w:jc w:val="center"/>
              <w:rPr>
                <w:rFonts w:ascii="Arial" w:hAnsi="Arial" w:cs="Arial"/>
                <w:sz w:val="18"/>
                <w:szCs w:val="18"/>
              </w:rPr>
            </w:pPr>
            <w:r w:rsidRPr="00C90B4C">
              <w:rPr>
                <w:rFonts w:ascii="Arial" w:hAnsi="Arial" w:cs="Arial"/>
                <w:sz w:val="18"/>
                <w:szCs w:val="18"/>
              </w:rPr>
              <w:t>California</w:t>
            </w:r>
          </w:p>
        </w:tc>
        <w:tc>
          <w:tcPr>
            <w:tcW w:w="1300" w:type="dxa"/>
            <w:shd w:val="clear" w:color="auto" w:fill="auto"/>
            <w:noWrap/>
            <w:vAlign w:val="center"/>
          </w:tcPr>
          <w:p w14:paraId="6BE5ACA4" w14:textId="7DE364A0" w:rsidR="0081151A" w:rsidRPr="00C90B4C" w:rsidRDefault="0056142C" w:rsidP="00526B43">
            <w:pPr>
              <w:jc w:val="center"/>
              <w:rPr>
                <w:rFonts w:ascii="Arial" w:hAnsi="Arial" w:cs="Arial"/>
                <w:sz w:val="18"/>
                <w:szCs w:val="18"/>
              </w:rPr>
            </w:pPr>
            <w:r w:rsidRPr="00C90B4C">
              <w:rPr>
                <w:rFonts w:ascii="Arial" w:hAnsi="Arial" w:cs="Arial"/>
                <w:sz w:val="18"/>
                <w:szCs w:val="18"/>
              </w:rPr>
              <w:t>Los Angeles</w:t>
            </w:r>
          </w:p>
        </w:tc>
        <w:tc>
          <w:tcPr>
            <w:tcW w:w="1652" w:type="dxa"/>
            <w:shd w:val="clear" w:color="auto" w:fill="auto"/>
            <w:noWrap/>
            <w:vAlign w:val="center"/>
          </w:tcPr>
          <w:p w14:paraId="651CFDA5" w14:textId="79179446" w:rsidR="0081151A" w:rsidRPr="00C90B4C" w:rsidRDefault="0056142C" w:rsidP="00526B43">
            <w:pPr>
              <w:jc w:val="center"/>
              <w:rPr>
                <w:rFonts w:ascii="Arial" w:hAnsi="Arial" w:cs="Arial"/>
                <w:sz w:val="18"/>
                <w:szCs w:val="18"/>
              </w:rPr>
            </w:pPr>
            <w:r w:rsidRPr="00C90B4C">
              <w:rPr>
                <w:rFonts w:ascii="Arial" w:hAnsi="Arial" w:cs="Arial"/>
                <w:sz w:val="18"/>
                <w:szCs w:val="18"/>
              </w:rPr>
              <w:t>41.05</w:t>
            </w:r>
          </w:p>
        </w:tc>
      </w:tr>
      <w:tr w:rsidR="00526B43" w:rsidRPr="007C5459" w14:paraId="4AD74375" w14:textId="77777777" w:rsidTr="00A15D31">
        <w:trPr>
          <w:trHeight w:val="300"/>
          <w:jc w:val="center"/>
        </w:trPr>
        <w:tc>
          <w:tcPr>
            <w:tcW w:w="4252" w:type="dxa"/>
            <w:gridSpan w:val="3"/>
            <w:shd w:val="clear" w:color="auto" w:fill="C6D9F1" w:themeFill="text2" w:themeFillTint="33"/>
            <w:noWrap/>
            <w:vAlign w:val="center"/>
          </w:tcPr>
          <w:p w14:paraId="56670FD5" w14:textId="4E20626E" w:rsidR="00526B43" w:rsidRPr="00C90B4C" w:rsidRDefault="00526B43" w:rsidP="00526B43">
            <w:pPr>
              <w:jc w:val="center"/>
              <w:rPr>
                <w:rFonts w:ascii="Arial" w:hAnsi="Arial" w:cs="Arial"/>
                <w:b/>
                <w:sz w:val="18"/>
                <w:szCs w:val="18"/>
              </w:rPr>
            </w:pPr>
            <w:r w:rsidRPr="00C90B4C">
              <w:rPr>
                <w:rFonts w:ascii="Arial" w:eastAsia="Times New Roman" w:hAnsi="Arial" w:cs="Arial"/>
                <w:b/>
                <w:color w:val="000000"/>
                <w:sz w:val="20"/>
                <w:szCs w:val="18"/>
              </w:rPr>
              <w:t>Manufacturing Sector</w:t>
            </w:r>
          </w:p>
        </w:tc>
      </w:tr>
      <w:tr w:rsidR="00526B43" w:rsidRPr="007C5459" w14:paraId="71F51F61" w14:textId="77777777" w:rsidTr="00526B43">
        <w:trPr>
          <w:trHeight w:val="300"/>
          <w:jc w:val="center"/>
        </w:trPr>
        <w:tc>
          <w:tcPr>
            <w:tcW w:w="1300" w:type="dxa"/>
            <w:shd w:val="clear" w:color="auto" w:fill="auto"/>
            <w:noWrap/>
            <w:vAlign w:val="center"/>
          </w:tcPr>
          <w:p w14:paraId="34BB26FE" w14:textId="2FE74820" w:rsidR="00526B43" w:rsidRPr="00C90B4C" w:rsidRDefault="00526B43" w:rsidP="00526B43">
            <w:pPr>
              <w:jc w:val="center"/>
              <w:rPr>
                <w:rFonts w:ascii="Arial" w:hAnsi="Arial" w:cs="Arial"/>
                <w:sz w:val="18"/>
                <w:szCs w:val="18"/>
              </w:rPr>
            </w:pPr>
            <w:r w:rsidRPr="00C90B4C">
              <w:rPr>
                <w:rFonts w:ascii="Arial" w:hAnsi="Arial" w:cs="Arial"/>
                <w:sz w:val="18"/>
                <w:szCs w:val="18"/>
              </w:rPr>
              <w:t>Texas</w:t>
            </w:r>
          </w:p>
        </w:tc>
        <w:tc>
          <w:tcPr>
            <w:tcW w:w="1300" w:type="dxa"/>
            <w:shd w:val="clear" w:color="auto" w:fill="auto"/>
            <w:noWrap/>
            <w:vAlign w:val="center"/>
          </w:tcPr>
          <w:p w14:paraId="0AD3BFD5" w14:textId="56C6CD50" w:rsidR="00526B43" w:rsidRPr="00C90B4C" w:rsidRDefault="00526B43" w:rsidP="00526B43">
            <w:pPr>
              <w:jc w:val="center"/>
              <w:rPr>
                <w:rFonts w:ascii="Arial" w:hAnsi="Arial" w:cs="Arial"/>
                <w:sz w:val="18"/>
                <w:szCs w:val="18"/>
              </w:rPr>
            </w:pPr>
            <w:r w:rsidRPr="00C90B4C">
              <w:rPr>
                <w:rFonts w:ascii="Arial" w:hAnsi="Arial" w:cs="Arial"/>
                <w:sz w:val="18"/>
                <w:szCs w:val="18"/>
              </w:rPr>
              <w:t>Harris</w:t>
            </w:r>
          </w:p>
        </w:tc>
        <w:tc>
          <w:tcPr>
            <w:tcW w:w="1652" w:type="dxa"/>
            <w:shd w:val="clear" w:color="auto" w:fill="auto"/>
            <w:noWrap/>
            <w:vAlign w:val="center"/>
          </w:tcPr>
          <w:p w14:paraId="787314E2" w14:textId="51F144C0" w:rsidR="00526B43" w:rsidRPr="00C90B4C" w:rsidRDefault="00526B43" w:rsidP="00526B43">
            <w:pPr>
              <w:jc w:val="center"/>
              <w:rPr>
                <w:rFonts w:ascii="Arial" w:hAnsi="Arial" w:cs="Arial"/>
                <w:sz w:val="18"/>
                <w:szCs w:val="18"/>
              </w:rPr>
            </w:pPr>
            <w:r w:rsidRPr="00C90B4C">
              <w:rPr>
                <w:rFonts w:ascii="Arial" w:hAnsi="Arial" w:cs="Arial"/>
                <w:sz w:val="18"/>
                <w:szCs w:val="18"/>
              </w:rPr>
              <w:t>13.48</w:t>
            </w:r>
          </w:p>
        </w:tc>
      </w:tr>
      <w:tr w:rsidR="00526B43" w:rsidRPr="007C5459" w14:paraId="585FA6DE" w14:textId="77777777" w:rsidTr="00526B43">
        <w:trPr>
          <w:trHeight w:val="300"/>
          <w:jc w:val="center"/>
        </w:trPr>
        <w:tc>
          <w:tcPr>
            <w:tcW w:w="1300" w:type="dxa"/>
            <w:shd w:val="clear" w:color="auto" w:fill="auto"/>
            <w:noWrap/>
            <w:vAlign w:val="center"/>
          </w:tcPr>
          <w:p w14:paraId="76C84CE0" w14:textId="16B074ED" w:rsidR="00526B43" w:rsidRPr="00C90B4C" w:rsidRDefault="00526B43" w:rsidP="00526B43">
            <w:pPr>
              <w:jc w:val="center"/>
              <w:rPr>
                <w:rFonts w:ascii="Arial" w:hAnsi="Arial" w:cs="Arial"/>
                <w:sz w:val="18"/>
                <w:szCs w:val="18"/>
              </w:rPr>
            </w:pPr>
            <w:r w:rsidRPr="00C90B4C">
              <w:rPr>
                <w:rFonts w:ascii="Arial" w:hAnsi="Arial" w:cs="Arial"/>
                <w:sz w:val="18"/>
                <w:szCs w:val="18"/>
              </w:rPr>
              <w:t>California</w:t>
            </w:r>
          </w:p>
        </w:tc>
        <w:tc>
          <w:tcPr>
            <w:tcW w:w="1300" w:type="dxa"/>
            <w:shd w:val="clear" w:color="auto" w:fill="auto"/>
            <w:noWrap/>
            <w:vAlign w:val="center"/>
          </w:tcPr>
          <w:p w14:paraId="7D3A1E11" w14:textId="7C8DB266" w:rsidR="00526B43" w:rsidRPr="00C90B4C" w:rsidRDefault="00526B43" w:rsidP="00526B43">
            <w:pPr>
              <w:jc w:val="center"/>
              <w:rPr>
                <w:rFonts w:ascii="Arial" w:hAnsi="Arial" w:cs="Arial"/>
                <w:sz w:val="18"/>
                <w:szCs w:val="18"/>
              </w:rPr>
            </w:pPr>
            <w:r w:rsidRPr="00C90B4C">
              <w:rPr>
                <w:rFonts w:ascii="Arial" w:hAnsi="Arial" w:cs="Arial"/>
                <w:sz w:val="18"/>
                <w:szCs w:val="18"/>
              </w:rPr>
              <w:t>Los Angeles</w:t>
            </w:r>
          </w:p>
        </w:tc>
        <w:tc>
          <w:tcPr>
            <w:tcW w:w="1652" w:type="dxa"/>
            <w:shd w:val="clear" w:color="auto" w:fill="auto"/>
            <w:noWrap/>
            <w:vAlign w:val="center"/>
          </w:tcPr>
          <w:p w14:paraId="39A05EBF" w14:textId="515B4849" w:rsidR="00526B43" w:rsidRPr="00C90B4C" w:rsidRDefault="00526B43" w:rsidP="00526B43">
            <w:pPr>
              <w:jc w:val="center"/>
              <w:rPr>
                <w:rFonts w:ascii="Arial" w:hAnsi="Arial" w:cs="Arial"/>
                <w:sz w:val="18"/>
                <w:szCs w:val="18"/>
              </w:rPr>
            </w:pPr>
            <w:r w:rsidRPr="00C90B4C">
              <w:rPr>
                <w:rFonts w:ascii="Arial" w:hAnsi="Arial" w:cs="Arial"/>
                <w:sz w:val="18"/>
                <w:szCs w:val="18"/>
              </w:rPr>
              <w:t>6.52</w:t>
            </w:r>
          </w:p>
        </w:tc>
      </w:tr>
      <w:tr w:rsidR="00526B43" w:rsidRPr="007C5459" w14:paraId="6B2A0951" w14:textId="77777777" w:rsidTr="00526B43">
        <w:trPr>
          <w:trHeight w:val="300"/>
          <w:jc w:val="center"/>
        </w:trPr>
        <w:tc>
          <w:tcPr>
            <w:tcW w:w="1300" w:type="dxa"/>
            <w:shd w:val="clear" w:color="auto" w:fill="auto"/>
            <w:noWrap/>
            <w:vAlign w:val="center"/>
          </w:tcPr>
          <w:p w14:paraId="57CB72B0" w14:textId="361286FB" w:rsidR="00526B43" w:rsidRPr="00C90B4C" w:rsidRDefault="00526B43" w:rsidP="00526B43">
            <w:pPr>
              <w:jc w:val="center"/>
              <w:rPr>
                <w:rFonts w:ascii="Arial" w:hAnsi="Arial" w:cs="Arial"/>
                <w:sz w:val="18"/>
                <w:szCs w:val="18"/>
              </w:rPr>
            </w:pPr>
            <w:r w:rsidRPr="00C90B4C">
              <w:rPr>
                <w:rFonts w:ascii="Arial" w:hAnsi="Arial" w:cs="Arial"/>
                <w:sz w:val="18"/>
                <w:szCs w:val="18"/>
              </w:rPr>
              <w:t>Illinois</w:t>
            </w:r>
          </w:p>
        </w:tc>
        <w:tc>
          <w:tcPr>
            <w:tcW w:w="1300" w:type="dxa"/>
            <w:shd w:val="clear" w:color="auto" w:fill="auto"/>
            <w:noWrap/>
            <w:vAlign w:val="center"/>
          </w:tcPr>
          <w:p w14:paraId="32FB9E28" w14:textId="7CF493D3" w:rsidR="00526B43" w:rsidRPr="00C90B4C" w:rsidRDefault="00526B43" w:rsidP="00526B43">
            <w:pPr>
              <w:jc w:val="center"/>
              <w:rPr>
                <w:rFonts w:ascii="Arial" w:hAnsi="Arial" w:cs="Arial"/>
                <w:sz w:val="18"/>
                <w:szCs w:val="18"/>
              </w:rPr>
            </w:pPr>
            <w:r w:rsidRPr="00C90B4C">
              <w:rPr>
                <w:rFonts w:ascii="Arial" w:hAnsi="Arial" w:cs="Arial"/>
                <w:sz w:val="18"/>
                <w:szCs w:val="18"/>
              </w:rPr>
              <w:t>Cook</w:t>
            </w:r>
          </w:p>
        </w:tc>
        <w:tc>
          <w:tcPr>
            <w:tcW w:w="1652" w:type="dxa"/>
            <w:shd w:val="clear" w:color="auto" w:fill="auto"/>
            <w:noWrap/>
            <w:vAlign w:val="center"/>
          </w:tcPr>
          <w:p w14:paraId="79EF44A9" w14:textId="034EAD73" w:rsidR="00526B43" w:rsidRPr="00C90B4C" w:rsidRDefault="00526B43" w:rsidP="00526B43">
            <w:pPr>
              <w:jc w:val="center"/>
              <w:rPr>
                <w:rFonts w:ascii="Arial" w:hAnsi="Arial" w:cs="Arial"/>
                <w:sz w:val="18"/>
                <w:szCs w:val="18"/>
              </w:rPr>
            </w:pPr>
            <w:r w:rsidRPr="00C90B4C">
              <w:rPr>
                <w:rFonts w:ascii="Arial" w:hAnsi="Arial" w:cs="Arial"/>
                <w:sz w:val="18"/>
                <w:szCs w:val="18"/>
              </w:rPr>
              <w:t>3.95</w:t>
            </w:r>
          </w:p>
        </w:tc>
      </w:tr>
      <w:tr w:rsidR="00526B43" w:rsidRPr="007C5459" w14:paraId="67335067" w14:textId="77777777" w:rsidTr="00A15D31">
        <w:trPr>
          <w:trHeight w:val="300"/>
          <w:jc w:val="center"/>
        </w:trPr>
        <w:tc>
          <w:tcPr>
            <w:tcW w:w="4252" w:type="dxa"/>
            <w:gridSpan w:val="3"/>
            <w:shd w:val="clear" w:color="auto" w:fill="C6D9F1" w:themeFill="text2" w:themeFillTint="33"/>
            <w:noWrap/>
            <w:vAlign w:val="center"/>
          </w:tcPr>
          <w:p w14:paraId="4DE1B6EC" w14:textId="64D39080" w:rsidR="00526B43" w:rsidRPr="00C90B4C" w:rsidRDefault="00526B43" w:rsidP="00526B43">
            <w:pPr>
              <w:jc w:val="center"/>
              <w:rPr>
                <w:rFonts w:ascii="Arial" w:hAnsi="Arial" w:cs="Arial"/>
                <w:b/>
                <w:sz w:val="18"/>
                <w:szCs w:val="18"/>
              </w:rPr>
            </w:pPr>
            <w:r w:rsidRPr="00C90B4C">
              <w:rPr>
                <w:rFonts w:ascii="Arial" w:eastAsia="Times New Roman" w:hAnsi="Arial" w:cs="Arial"/>
                <w:b/>
                <w:color w:val="000000"/>
                <w:sz w:val="20"/>
                <w:szCs w:val="18"/>
              </w:rPr>
              <w:t>Agricultural Sector</w:t>
            </w:r>
          </w:p>
        </w:tc>
      </w:tr>
      <w:tr w:rsidR="00526B43" w:rsidRPr="007C5459" w14:paraId="1E61DE8F" w14:textId="77777777" w:rsidTr="00526B43">
        <w:trPr>
          <w:trHeight w:val="300"/>
          <w:jc w:val="center"/>
        </w:trPr>
        <w:tc>
          <w:tcPr>
            <w:tcW w:w="1300" w:type="dxa"/>
            <w:shd w:val="clear" w:color="auto" w:fill="auto"/>
            <w:noWrap/>
            <w:vAlign w:val="center"/>
          </w:tcPr>
          <w:p w14:paraId="03314441" w14:textId="56B8AAE4" w:rsidR="00526B43" w:rsidRPr="00C90B4C" w:rsidRDefault="00526B43" w:rsidP="00526B43">
            <w:pPr>
              <w:jc w:val="center"/>
              <w:rPr>
                <w:rFonts w:ascii="Arial" w:hAnsi="Arial" w:cs="Arial"/>
                <w:sz w:val="18"/>
                <w:szCs w:val="18"/>
              </w:rPr>
            </w:pPr>
            <w:r w:rsidRPr="00C90B4C">
              <w:rPr>
                <w:rFonts w:ascii="Arial" w:hAnsi="Arial" w:cs="Arial"/>
                <w:sz w:val="18"/>
                <w:szCs w:val="18"/>
              </w:rPr>
              <w:t>California</w:t>
            </w:r>
          </w:p>
        </w:tc>
        <w:tc>
          <w:tcPr>
            <w:tcW w:w="1300" w:type="dxa"/>
            <w:shd w:val="clear" w:color="auto" w:fill="auto"/>
            <w:noWrap/>
            <w:vAlign w:val="center"/>
          </w:tcPr>
          <w:p w14:paraId="141419B4" w14:textId="0580C7CC" w:rsidR="00526B43" w:rsidRPr="00C90B4C" w:rsidRDefault="00526B43" w:rsidP="00526B43">
            <w:pPr>
              <w:jc w:val="center"/>
              <w:rPr>
                <w:rFonts w:ascii="Arial" w:hAnsi="Arial" w:cs="Arial"/>
                <w:sz w:val="18"/>
                <w:szCs w:val="18"/>
              </w:rPr>
            </w:pPr>
            <w:r w:rsidRPr="00C90B4C">
              <w:rPr>
                <w:rFonts w:ascii="Arial" w:hAnsi="Arial" w:cs="Arial"/>
                <w:sz w:val="18"/>
                <w:szCs w:val="18"/>
              </w:rPr>
              <w:t>San Diego</w:t>
            </w:r>
          </w:p>
        </w:tc>
        <w:tc>
          <w:tcPr>
            <w:tcW w:w="1652" w:type="dxa"/>
            <w:shd w:val="clear" w:color="auto" w:fill="auto"/>
            <w:noWrap/>
            <w:vAlign w:val="center"/>
          </w:tcPr>
          <w:p w14:paraId="622AC8AF" w14:textId="1FEA224A" w:rsidR="00526B43" w:rsidRPr="00C90B4C" w:rsidRDefault="00526B43" w:rsidP="00526B43">
            <w:pPr>
              <w:jc w:val="center"/>
              <w:rPr>
                <w:rFonts w:ascii="Arial" w:hAnsi="Arial" w:cs="Arial"/>
                <w:sz w:val="18"/>
                <w:szCs w:val="18"/>
              </w:rPr>
            </w:pPr>
            <w:r w:rsidRPr="00C90B4C">
              <w:rPr>
                <w:rFonts w:ascii="Arial" w:hAnsi="Arial" w:cs="Arial"/>
                <w:sz w:val="18"/>
                <w:szCs w:val="18"/>
              </w:rPr>
              <w:t>0.60</w:t>
            </w:r>
          </w:p>
        </w:tc>
      </w:tr>
      <w:tr w:rsidR="00526B43" w:rsidRPr="007C5459" w14:paraId="65996575" w14:textId="77777777" w:rsidTr="00526B43">
        <w:trPr>
          <w:trHeight w:val="300"/>
          <w:jc w:val="center"/>
        </w:trPr>
        <w:tc>
          <w:tcPr>
            <w:tcW w:w="1300" w:type="dxa"/>
            <w:shd w:val="clear" w:color="auto" w:fill="auto"/>
            <w:noWrap/>
            <w:vAlign w:val="center"/>
          </w:tcPr>
          <w:p w14:paraId="218DA971" w14:textId="3344966E" w:rsidR="00526B43" w:rsidRPr="00C90B4C" w:rsidRDefault="00526B43" w:rsidP="00526B43">
            <w:pPr>
              <w:jc w:val="center"/>
              <w:rPr>
                <w:rFonts w:ascii="Arial" w:hAnsi="Arial" w:cs="Arial"/>
                <w:sz w:val="18"/>
                <w:szCs w:val="18"/>
              </w:rPr>
            </w:pPr>
            <w:r w:rsidRPr="00C90B4C">
              <w:rPr>
                <w:rFonts w:ascii="Arial" w:hAnsi="Arial" w:cs="Arial"/>
                <w:sz w:val="18"/>
                <w:szCs w:val="18"/>
              </w:rPr>
              <w:t>Oregon</w:t>
            </w:r>
          </w:p>
        </w:tc>
        <w:tc>
          <w:tcPr>
            <w:tcW w:w="1300" w:type="dxa"/>
            <w:shd w:val="clear" w:color="auto" w:fill="auto"/>
            <w:noWrap/>
            <w:vAlign w:val="center"/>
          </w:tcPr>
          <w:p w14:paraId="52AA1BAE" w14:textId="6BE3BFD7" w:rsidR="00526B43" w:rsidRPr="00C90B4C" w:rsidRDefault="00526B43" w:rsidP="00526B43">
            <w:pPr>
              <w:jc w:val="center"/>
              <w:rPr>
                <w:rFonts w:ascii="Arial" w:hAnsi="Arial" w:cs="Arial"/>
                <w:sz w:val="18"/>
                <w:szCs w:val="18"/>
              </w:rPr>
            </w:pPr>
            <w:r w:rsidRPr="00C90B4C">
              <w:rPr>
                <w:rFonts w:ascii="Arial" w:hAnsi="Arial" w:cs="Arial"/>
                <w:sz w:val="18"/>
                <w:szCs w:val="18"/>
              </w:rPr>
              <w:t>Clackamas</w:t>
            </w:r>
          </w:p>
        </w:tc>
        <w:tc>
          <w:tcPr>
            <w:tcW w:w="1652" w:type="dxa"/>
            <w:shd w:val="clear" w:color="auto" w:fill="auto"/>
            <w:noWrap/>
            <w:vAlign w:val="center"/>
          </w:tcPr>
          <w:p w14:paraId="62F4D4ED" w14:textId="67B8792C" w:rsidR="00526B43" w:rsidRPr="00C90B4C" w:rsidRDefault="00526B43" w:rsidP="00526B43">
            <w:pPr>
              <w:jc w:val="center"/>
              <w:rPr>
                <w:rFonts w:ascii="Arial" w:hAnsi="Arial" w:cs="Arial"/>
                <w:sz w:val="18"/>
                <w:szCs w:val="18"/>
              </w:rPr>
            </w:pPr>
            <w:r w:rsidRPr="00C90B4C">
              <w:rPr>
                <w:rFonts w:ascii="Arial" w:hAnsi="Arial" w:cs="Arial"/>
                <w:sz w:val="18"/>
                <w:szCs w:val="18"/>
              </w:rPr>
              <w:t>0.32</w:t>
            </w:r>
          </w:p>
        </w:tc>
      </w:tr>
      <w:tr w:rsidR="00526B43" w:rsidRPr="007C5459" w14:paraId="3384EFE9" w14:textId="77777777" w:rsidTr="00526B43">
        <w:trPr>
          <w:trHeight w:val="300"/>
          <w:jc w:val="center"/>
        </w:trPr>
        <w:tc>
          <w:tcPr>
            <w:tcW w:w="1300" w:type="dxa"/>
            <w:shd w:val="clear" w:color="auto" w:fill="auto"/>
            <w:noWrap/>
            <w:vAlign w:val="center"/>
          </w:tcPr>
          <w:p w14:paraId="7770864B" w14:textId="10D2CD8E" w:rsidR="00526B43" w:rsidRPr="00C90B4C" w:rsidRDefault="00526B43" w:rsidP="00526B43">
            <w:pPr>
              <w:jc w:val="center"/>
              <w:rPr>
                <w:rFonts w:ascii="Arial" w:hAnsi="Arial" w:cs="Arial"/>
                <w:sz w:val="18"/>
                <w:szCs w:val="18"/>
              </w:rPr>
            </w:pPr>
            <w:r w:rsidRPr="00C90B4C">
              <w:rPr>
                <w:rFonts w:ascii="Arial" w:hAnsi="Arial" w:cs="Arial"/>
                <w:sz w:val="18"/>
                <w:szCs w:val="18"/>
              </w:rPr>
              <w:t>Florida</w:t>
            </w:r>
          </w:p>
        </w:tc>
        <w:tc>
          <w:tcPr>
            <w:tcW w:w="1300" w:type="dxa"/>
            <w:shd w:val="clear" w:color="auto" w:fill="auto"/>
            <w:noWrap/>
            <w:vAlign w:val="center"/>
          </w:tcPr>
          <w:p w14:paraId="32DCE142" w14:textId="59DA94A0" w:rsidR="00526B43" w:rsidRPr="00C90B4C" w:rsidRDefault="00526B43" w:rsidP="00526B43">
            <w:pPr>
              <w:jc w:val="center"/>
              <w:rPr>
                <w:rFonts w:ascii="Arial" w:hAnsi="Arial" w:cs="Arial"/>
                <w:sz w:val="18"/>
                <w:szCs w:val="18"/>
              </w:rPr>
            </w:pPr>
            <w:r w:rsidRPr="00C90B4C">
              <w:rPr>
                <w:rFonts w:ascii="Arial" w:hAnsi="Arial" w:cs="Arial"/>
                <w:sz w:val="18"/>
                <w:szCs w:val="18"/>
              </w:rPr>
              <w:t>Miami-Dade</w:t>
            </w:r>
          </w:p>
        </w:tc>
        <w:tc>
          <w:tcPr>
            <w:tcW w:w="1652" w:type="dxa"/>
            <w:shd w:val="clear" w:color="auto" w:fill="auto"/>
            <w:noWrap/>
            <w:vAlign w:val="center"/>
          </w:tcPr>
          <w:p w14:paraId="5EBA7E1C" w14:textId="148AE9DF" w:rsidR="00526B43" w:rsidRPr="00C90B4C" w:rsidRDefault="00526B43" w:rsidP="00526B43">
            <w:pPr>
              <w:jc w:val="center"/>
              <w:rPr>
                <w:rFonts w:ascii="Arial" w:hAnsi="Arial" w:cs="Arial"/>
                <w:sz w:val="18"/>
                <w:szCs w:val="18"/>
              </w:rPr>
            </w:pPr>
            <w:r w:rsidRPr="00C90B4C">
              <w:rPr>
                <w:rFonts w:ascii="Arial" w:hAnsi="Arial" w:cs="Arial"/>
                <w:sz w:val="18"/>
                <w:szCs w:val="18"/>
              </w:rPr>
              <w:t>0.26</w:t>
            </w:r>
          </w:p>
        </w:tc>
      </w:tr>
    </w:tbl>
    <w:p w14:paraId="3E920555" w14:textId="77777777" w:rsidR="00AF3531" w:rsidRDefault="00AF3531" w:rsidP="00427C94">
      <w:pPr>
        <w:jc w:val="center"/>
      </w:pPr>
    </w:p>
    <w:p w14:paraId="129AB326" w14:textId="6D04C567" w:rsidR="002C169A" w:rsidRPr="00A15D31" w:rsidRDefault="002C169A" w:rsidP="00427C94">
      <w:pPr>
        <w:pStyle w:val="Caption"/>
        <w:keepNext/>
        <w:jc w:val="center"/>
        <w:rPr>
          <w:b w:val="0"/>
          <w:color w:val="auto"/>
        </w:rPr>
      </w:pPr>
      <w:bookmarkStart w:id="15" w:name="_Ref324431326"/>
      <w:r w:rsidRPr="00A15D31">
        <w:rPr>
          <w:color w:val="auto"/>
        </w:rPr>
        <w:lastRenderedPageBreak/>
        <w:t xml:space="preserve">Table </w:t>
      </w:r>
      <w:r w:rsidRPr="00A15D31">
        <w:rPr>
          <w:color w:val="auto"/>
        </w:rPr>
        <w:fldChar w:fldCharType="begin"/>
      </w:r>
      <w:r w:rsidRPr="00A15D31">
        <w:rPr>
          <w:color w:val="auto"/>
        </w:rPr>
        <w:instrText xml:space="preserve"> SEQ Table \* ARABIC </w:instrText>
      </w:r>
      <w:r w:rsidRPr="00A15D31">
        <w:rPr>
          <w:color w:val="auto"/>
        </w:rPr>
        <w:fldChar w:fldCharType="separate"/>
      </w:r>
      <w:r w:rsidR="00244063">
        <w:rPr>
          <w:noProof/>
          <w:color w:val="auto"/>
        </w:rPr>
        <w:t>8</w:t>
      </w:r>
      <w:r w:rsidRPr="00A15D31">
        <w:rPr>
          <w:color w:val="auto"/>
        </w:rPr>
        <w:fldChar w:fldCharType="end"/>
      </w:r>
      <w:bookmarkEnd w:id="15"/>
      <w:r w:rsidRPr="00A15D31">
        <w:rPr>
          <w:color w:val="auto"/>
        </w:rPr>
        <w:t xml:space="preserve">: </w:t>
      </w:r>
      <w:r w:rsidRPr="00A15D31">
        <w:rPr>
          <w:b w:val="0"/>
          <w:color w:val="auto"/>
        </w:rPr>
        <w:t xml:space="preserve">Top </w:t>
      </w:r>
      <w:r w:rsidR="00297D42">
        <w:rPr>
          <w:b w:val="0"/>
          <w:color w:val="auto"/>
        </w:rPr>
        <w:t>three</w:t>
      </w:r>
      <w:r w:rsidR="00297D42" w:rsidRPr="00A15D31">
        <w:rPr>
          <w:b w:val="0"/>
          <w:color w:val="auto"/>
        </w:rPr>
        <w:t xml:space="preserve"> </w:t>
      </w:r>
      <w:r w:rsidRPr="00A15D31">
        <w:rPr>
          <w:b w:val="0"/>
          <w:color w:val="auto"/>
        </w:rPr>
        <w:t>counties by sector for thermal demand density (m</w:t>
      </w:r>
      <w:r w:rsidR="008F7D6F">
        <w:rPr>
          <w:b w:val="0"/>
          <w:color w:val="auto"/>
        </w:rPr>
        <w:t>Btu</w:t>
      </w:r>
      <w:r w:rsidRPr="00A15D31">
        <w:rPr>
          <w:b w:val="0"/>
          <w:color w:val="auto"/>
        </w:rPr>
        <w:t>/sq. ft.)</w:t>
      </w:r>
    </w:p>
    <w:tbl>
      <w:tblPr>
        <w:tblW w:w="4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22"/>
        <w:gridCol w:w="1652"/>
      </w:tblGrid>
      <w:tr w:rsidR="00201222" w:rsidRPr="007C5459" w14:paraId="27676B91" w14:textId="77777777" w:rsidTr="00427C94">
        <w:trPr>
          <w:trHeight w:val="300"/>
          <w:jc w:val="center"/>
        </w:trPr>
        <w:tc>
          <w:tcPr>
            <w:tcW w:w="1512" w:type="dxa"/>
            <w:shd w:val="clear" w:color="auto" w:fill="4F81BD" w:themeFill="accent1"/>
            <w:noWrap/>
            <w:vAlign w:val="center"/>
            <w:hideMark/>
          </w:tcPr>
          <w:p w14:paraId="3EC36A30" w14:textId="77777777" w:rsidR="00201222" w:rsidRPr="007C5459" w:rsidRDefault="00201222" w:rsidP="00201222">
            <w:pPr>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State</w:t>
            </w:r>
          </w:p>
        </w:tc>
        <w:tc>
          <w:tcPr>
            <w:tcW w:w="1522" w:type="dxa"/>
            <w:shd w:val="clear" w:color="auto" w:fill="4F81BD" w:themeFill="accent1"/>
            <w:noWrap/>
            <w:vAlign w:val="center"/>
            <w:hideMark/>
          </w:tcPr>
          <w:p w14:paraId="69CD98F7" w14:textId="77777777" w:rsidR="00201222" w:rsidRPr="007C5459" w:rsidRDefault="00201222" w:rsidP="00201222">
            <w:pPr>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County</w:t>
            </w:r>
          </w:p>
        </w:tc>
        <w:tc>
          <w:tcPr>
            <w:tcW w:w="1652" w:type="dxa"/>
            <w:shd w:val="clear" w:color="auto" w:fill="4F81BD" w:themeFill="accent1"/>
            <w:noWrap/>
            <w:vAlign w:val="center"/>
            <w:hideMark/>
          </w:tcPr>
          <w:p w14:paraId="0F721A4B" w14:textId="6B1600FE" w:rsidR="00201222" w:rsidRPr="007C5459" w:rsidRDefault="00201222" w:rsidP="00201222">
            <w:pPr>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Thermal Demand Density (m</w:t>
            </w:r>
            <w:r w:rsidR="008F7D6F">
              <w:rPr>
                <w:rFonts w:ascii="Arial" w:eastAsia="Times New Roman" w:hAnsi="Arial" w:cs="Arial"/>
                <w:b/>
                <w:color w:val="FFFFFF" w:themeColor="background1"/>
                <w:sz w:val="20"/>
                <w:szCs w:val="20"/>
              </w:rPr>
              <w:t>Btu</w:t>
            </w:r>
            <w:r>
              <w:rPr>
                <w:rFonts w:ascii="Arial" w:eastAsia="Times New Roman" w:hAnsi="Arial" w:cs="Arial"/>
                <w:b/>
                <w:color w:val="FFFFFF" w:themeColor="background1"/>
                <w:sz w:val="20"/>
                <w:szCs w:val="20"/>
              </w:rPr>
              <w:t>/sq. ft.)</w:t>
            </w:r>
          </w:p>
        </w:tc>
      </w:tr>
      <w:tr w:rsidR="00201222" w:rsidRPr="007C5459" w14:paraId="335F743A" w14:textId="77777777" w:rsidTr="00A15D31">
        <w:trPr>
          <w:trHeight w:val="300"/>
          <w:jc w:val="center"/>
        </w:trPr>
        <w:tc>
          <w:tcPr>
            <w:tcW w:w="4686" w:type="dxa"/>
            <w:gridSpan w:val="3"/>
            <w:shd w:val="clear" w:color="auto" w:fill="C6D9F1" w:themeFill="text2" w:themeFillTint="33"/>
            <w:noWrap/>
            <w:vAlign w:val="center"/>
            <w:hideMark/>
          </w:tcPr>
          <w:p w14:paraId="4596559E" w14:textId="77777777" w:rsidR="00201222" w:rsidRPr="00526B43" w:rsidRDefault="00201222" w:rsidP="00201222">
            <w:pPr>
              <w:jc w:val="center"/>
              <w:rPr>
                <w:rFonts w:ascii="Arial" w:eastAsia="Times New Roman" w:hAnsi="Arial" w:cs="Arial"/>
                <w:b/>
                <w:color w:val="000000"/>
                <w:sz w:val="20"/>
                <w:szCs w:val="18"/>
              </w:rPr>
            </w:pPr>
            <w:r w:rsidRPr="00526B43">
              <w:rPr>
                <w:rFonts w:ascii="Arial" w:eastAsia="Times New Roman" w:hAnsi="Arial" w:cs="Arial"/>
                <w:b/>
                <w:color w:val="000000"/>
                <w:sz w:val="20"/>
                <w:szCs w:val="18"/>
              </w:rPr>
              <w:t>Residential Sector</w:t>
            </w:r>
          </w:p>
        </w:tc>
      </w:tr>
      <w:tr w:rsidR="00201222" w:rsidRPr="007C5459" w14:paraId="76D26E7B" w14:textId="77777777" w:rsidTr="00427C94">
        <w:trPr>
          <w:trHeight w:val="300"/>
          <w:jc w:val="center"/>
        </w:trPr>
        <w:tc>
          <w:tcPr>
            <w:tcW w:w="1512" w:type="dxa"/>
            <w:shd w:val="clear" w:color="auto" w:fill="auto"/>
            <w:noWrap/>
            <w:vAlign w:val="center"/>
            <w:hideMark/>
          </w:tcPr>
          <w:p w14:paraId="6FFAA923" w14:textId="2641EC79" w:rsidR="00201222" w:rsidRPr="00C90B4C" w:rsidRDefault="00201222" w:rsidP="00201222">
            <w:pPr>
              <w:jc w:val="center"/>
              <w:rPr>
                <w:rFonts w:ascii="Arial" w:eastAsia="Times New Roman" w:hAnsi="Arial" w:cs="Arial"/>
                <w:color w:val="000000"/>
                <w:sz w:val="18"/>
                <w:szCs w:val="18"/>
              </w:rPr>
            </w:pPr>
            <w:r>
              <w:rPr>
                <w:rFonts w:ascii="Arial" w:eastAsia="Times New Roman" w:hAnsi="Arial" w:cs="Arial"/>
                <w:color w:val="000000"/>
                <w:sz w:val="18"/>
                <w:szCs w:val="18"/>
              </w:rPr>
              <w:t>New York</w:t>
            </w:r>
          </w:p>
        </w:tc>
        <w:tc>
          <w:tcPr>
            <w:tcW w:w="1522" w:type="dxa"/>
            <w:shd w:val="clear" w:color="auto" w:fill="auto"/>
            <w:noWrap/>
            <w:vAlign w:val="center"/>
            <w:hideMark/>
          </w:tcPr>
          <w:p w14:paraId="7E379C45" w14:textId="022CC4FF" w:rsidR="00201222" w:rsidRPr="00C90B4C" w:rsidRDefault="00201222" w:rsidP="00201222">
            <w:pPr>
              <w:jc w:val="center"/>
              <w:rPr>
                <w:rFonts w:ascii="Arial" w:eastAsia="Times New Roman" w:hAnsi="Arial" w:cs="Arial"/>
                <w:color w:val="000000"/>
                <w:sz w:val="18"/>
                <w:szCs w:val="18"/>
              </w:rPr>
            </w:pPr>
            <w:r>
              <w:rPr>
                <w:rFonts w:ascii="Arial" w:eastAsia="Times New Roman" w:hAnsi="Arial" w:cs="Arial"/>
                <w:color w:val="000000"/>
                <w:sz w:val="18"/>
                <w:szCs w:val="18"/>
              </w:rPr>
              <w:t>New York</w:t>
            </w:r>
          </w:p>
        </w:tc>
        <w:tc>
          <w:tcPr>
            <w:tcW w:w="1652" w:type="dxa"/>
            <w:shd w:val="clear" w:color="auto" w:fill="auto"/>
            <w:noWrap/>
            <w:vAlign w:val="center"/>
            <w:hideMark/>
          </w:tcPr>
          <w:p w14:paraId="36730D4F" w14:textId="6087D714" w:rsidR="00201222" w:rsidRPr="00C90B4C" w:rsidRDefault="00201222" w:rsidP="00201222">
            <w:pPr>
              <w:jc w:val="center"/>
              <w:rPr>
                <w:rFonts w:ascii="Arial" w:eastAsia="Times New Roman" w:hAnsi="Arial" w:cs="Arial"/>
                <w:color w:val="000000"/>
                <w:sz w:val="18"/>
                <w:szCs w:val="18"/>
              </w:rPr>
            </w:pPr>
            <w:r>
              <w:rPr>
                <w:rFonts w:ascii="Arial" w:eastAsia="Times New Roman" w:hAnsi="Arial" w:cs="Arial"/>
                <w:color w:val="000000"/>
                <w:sz w:val="18"/>
                <w:szCs w:val="18"/>
              </w:rPr>
              <w:t>869.2</w:t>
            </w:r>
          </w:p>
        </w:tc>
      </w:tr>
      <w:tr w:rsidR="00201222" w:rsidRPr="007C5459" w14:paraId="664A9BB7" w14:textId="77777777" w:rsidTr="00427C94">
        <w:trPr>
          <w:trHeight w:val="300"/>
          <w:jc w:val="center"/>
        </w:trPr>
        <w:tc>
          <w:tcPr>
            <w:tcW w:w="1512" w:type="dxa"/>
            <w:shd w:val="clear" w:color="auto" w:fill="auto"/>
            <w:noWrap/>
            <w:vAlign w:val="center"/>
            <w:hideMark/>
          </w:tcPr>
          <w:p w14:paraId="01E55C46" w14:textId="540F486C" w:rsidR="00201222" w:rsidRPr="00C90B4C" w:rsidRDefault="00201222" w:rsidP="00201222">
            <w:pPr>
              <w:jc w:val="center"/>
              <w:rPr>
                <w:rFonts w:ascii="Arial" w:eastAsia="Times New Roman" w:hAnsi="Arial" w:cs="Arial"/>
                <w:color w:val="000000"/>
                <w:sz w:val="18"/>
                <w:szCs w:val="18"/>
              </w:rPr>
            </w:pPr>
            <w:r>
              <w:rPr>
                <w:rFonts w:ascii="Arial" w:eastAsia="Times New Roman" w:hAnsi="Arial" w:cs="Arial"/>
                <w:color w:val="000000"/>
                <w:sz w:val="18"/>
                <w:szCs w:val="18"/>
              </w:rPr>
              <w:t>New York</w:t>
            </w:r>
          </w:p>
        </w:tc>
        <w:tc>
          <w:tcPr>
            <w:tcW w:w="1522" w:type="dxa"/>
            <w:shd w:val="clear" w:color="auto" w:fill="auto"/>
            <w:noWrap/>
            <w:vAlign w:val="center"/>
            <w:hideMark/>
          </w:tcPr>
          <w:p w14:paraId="57119902" w14:textId="01D88CBE" w:rsidR="00201222" w:rsidRPr="00C90B4C" w:rsidRDefault="00201222" w:rsidP="00201222">
            <w:pPr>
              <w:jc w:val="center"/>
              <w:rPr>
                <w:rFonts w:ascii="Arial" w:eastAsia="Times New Roman" w:hAnsi="Arial" w:cs="Arial"/>
                <w:color w:val="000000"/>
                <w:sz w:val="18"/>
                <w:szCs w:val="18"/>
              </w:rPr>
            </w:pPr>
            <w:r>
              <w:rPr>
                <w:rFonts w:ascii="Arial" w:eastAsia="Times New Roman" w:hAnsi="Arial" w:cs="Arial"/>
                <w:color w:val="000000"/>
                <w:sz w:val="18"/>
                <w:szCs w:val="18"/>
              </w:rPr>
              <w:t>Kings</w:t>
            </w:r>
          </w:p>
        </w:tc>
        <w:tc>
          <w:tcPr>
            <w:tcW w:w="1652" w:type="dxa"/>
            <w:shd w:val="clear" w:color="auto" w:fill="auto"/>
            <w:noWrap/>
            <w:vAlign w:val="center"/>
            <w:hideMark/>
          </w:tcPr>
          <w:p w14:paraId="5927C8AE" w14:textId="48A1F383" w:rsidR="00201222" w:rsidRPr="00C90B4C" w:rsidRDefault="00201222" w:rsidP="00201222">
            <w:pPr>
              <w:jc w:val="center"/>
              <w:rPr>
                <w:rFonts w:ascii="Arial" w:eastAsia="Times New Roman" w:hAnsi="Arial" w:cs="Arial"/>
                <w:color w:val="000000"/>
                <w:sz w:val="18"/>
                <w:szCs w:val="18"/>
              </w:rPr>
            </w:pPr>
            <w:r>
              <w:rPr>
                <w:rFonts w:ascii="Arial" w:eastAsia="Times New Roman" w:hAnsi="Arial" w:cs="Arial"/>
                <w:color w:val="000000"/>
                <w:sz w:val="18"/>
                <w:szCs w:val="18"/>
              </w:rPr>
              <w:t>328.4</w:t>
            </w:r>
          </w:p>
        </w:tc>
      </w:tr>
      <w:tr w:rsidR="00201222" w:rsidRPr="007C5459" w14:paraId="533B1927" w14:textId="77777777" w:rsidTr="00427C94">
        <w:trPr>
          <w:trHeight w:val="300"/>
          <w:jc w:val="center"/>
        </w:trPr>
        <w:tc>
          <w:tcPr>
            <w:tcW w:w="1512" w:type="dxa"/>
            <w:shd w:val="clear" w:color="auto" w:fill="auto"/>
            <w:noWrap/>
            <w:vAlign w:val="center"/>
            <w:hideMark/>
          </w:tcPr>
          <w:p w14:paraId="5744B9E2" w14:textId="476C514B" w:rsidR="00201222" w:rsidRPr="00C90B4C" w:rsidRDefault="00201222" w:rsidP="00201222">
            <w:pPr>
              <w:jc w:val="center"/>
              <w:rPr>
                <w:rFonts w:ascii="Arial" w:eastAsia="Times New Roman" w:hAnsi="Arial" w:cs="Arial"/>
                <w:color w:val="000000"/>
                <w:sz w:val="18"/>
                <w:szCs w:val="18"/>
              </w:rPr>
            </w:pPr>
            <w:r>
              <w:rPr>
                <w:rFonts w:ascii="Arial" w:eastAsia="Times New Roman" w:hAnsi="Arial" w:cs="Arial"/>
                <w:color w:val="000000"/>
                <w:sz w:val="18"/>
                <w:szCs w:val="18"/>
              </w:rPr>
              <w:t>New York</w:t>
            </w:r>
          </w:p>
        </w:tc>
        <w:tc>
          <w:tcPr>
            <w:tcW w:w="1522" w:type="dxa"/>
            <w:shd w:val="clear" w:color="auto" w:fill="auto"/>
            <w:noWrap/>
            <w:vAlign w:val="center"/>
            <w:hideMark/>
          </w:tcPr>
          <w:p w14:paraId="029BFD5B" w14:textId="5AB4570C" w:rsidR="00201222" w:rsidRPr="00C90B4C" w:rsidRDefault="00201222" w:rsidP="00201222">
            <w:pPr>
              <w:jc w:val="center"/>
              <w:rPr>
                <w:rFonts w:ascii="Arial" w:eastAsia="Times New Roman" w:hAnsi="Arial" w:cs="Arial"/>
                <w:color w:val="000000"/>
                <w:sz w:val="18"/>
                <w:szCs w:val="18"/>
              </w:rPr>
            </w:pPr>
            <w:r>
              <w:rPr>
                <w:rFonts w:ascii="Arial" w:eastAsia="Times New Roman" w:hAnsi="Arial" w:cs="Arial"/>
                <w:color w:val="000000"/>
                <w:sz w:val="18"/>
                <w:szCs w:val="18"/>
              </w:rPr>
              <w:t>Bronx</w:t>
            </w:r>
          </w:p>
        </w:tc>
        <w:tc>
          <w:tcPr>
            <w:tcW w:w="1652" w:type="dxa"/>
            <w:shd w:val="clear" w:color="auto" w:fill="auto"/>
            <w:noWrap/>
            <w:vAlign w:val="center"/>
            <w:hideMark/>
          </w:tcPr>
          <w:p w14:paraId="35532EE7" w14:textId="2EF3EE07" w:rsidR="00201222" w:rsidRPr="00C90B4C" w:rsidRDefault="00201222" w:rsidP="00201222">
            <w:pPr>
              <w:jc w:val="center"/>
              <w:rPr>
                <w:rFonts w:ascii="Arial" w:eastAsia="Times New Roman" w:hAnsi="Arial" w:cs="Arial"/>
                <w:color w:val="000000"/>
                <w:sz w:val="18"/>
                <w:szCs w:val="18"/>
              </w:rPr>
            </w:pPr>
            <w:r>
              <w:rPr>
                <w:rFonts w:ascii="Arial" w:eastAsia="Times New Roman" w:hAnsi="Arial" w:cs="Arial"/>
                <w:color w:val="000000"/>
                <w:sz w:val="18"/>
                <w:szCs w:val="18"/>
              </w:rPr>
              <w:t>282.6</w:t>
            </w:r>
          </w:p>
        </w:tc>
      </w:tr>
      <w:tr w:rsidR="00201222" w:rsidRPr="007C5459" w14:paraId="5BA06C8F" w14:textId="77777777" w:rsidTr="00A15D31">
        <w:trPr>
          <w:trHeight w:val="300"/>
          <w:jc w:val="center"/>
        </w:trPr>
        <w:tc>
          <w:tcPr>
            <w:tcW w:w="4686" w:type="dxa"/>
            <w:gridSpan w:val="3"/>
            <w:shd w:val="clear" w:color="auto" w:fill="C6D9F1" w:themeFill="text2" w:themeFillTint="33"/>
            <w:noWrap/>
            <w:vAlign w:val="center"/>
          </w:tcPr>
          <w:p w14:paraId="1D40D7B8" w14:textId="77777777" w:rsidR="00201222" w:rsidRPr="00C90B4C" w:rsidRDefault="00201222" w:rsidP="00201222">
            <w:pPr>
              <w:jc w:val="center"/>
              <w:rPr>
                <w:rFonts w:ascii="Arial" w:eastAsia="Times New Roman" w:hAnsi="Arial" w:cs="Arial"/>
                <w:b/>
                <w:color w:val="000000"/>
                <w:sz w:val="18"/>
                <w:szCs w:val="18"/>
              </w:rPr>
            </w:pPr>
            <w:r w:rsidRPr="00C90B4C">
              <w:rPr>
                <w:rFonts w:ascii="Arial" w:eastAsia="Times New Roman" w:hAnsi="Arial" w:cs="Arial"/>
                <w:b/>
                <w:color w:val="000000"/>
                <w:sz w:val="20"/>
                <w:szCs w:val="18"/>
              </w:rPr>
              <w:t>Commercial Sector</w:t>
            </w:r>
          </w:p>
        </w:tc>
      </w:tr>
      <w:tr w:rsidR="00FE03E9" w:rsidRPr="007C5459" w14:paraId="5AE9F1FE" w14:textId="77777777" w:rsidTr="00427C94">
        <w:trPr>
          <w:trHeight w:val="300"/>
          <w:jc w:val="center"/>
        </w:trPr>
        <w:tc>
          <w:tcPr>
            <w:tcW w:w="1512" w:type="dxa"/>
            <w:shd w:val="clear" w:color="auto" w:fill="auto"/>
            <w:noWrap/>
            <w:vAlign w:val="center"/>
          </w:tcPr>
          <w:p w14:paraId="34718510" w14:textId="10FD83CD" w:rsidR="00FE03E9" w:rsidRPr="00C90B4C" w:rsidRDefault="00FE03E9" w:rsidP="00201222">
            <w:pPr>
              <w:jc w:val="center"/>
              <w:rPr>
                <w:rFonts w:ascii="Arial" w:hAnsi="Arial" w:cs="Arial"/>
                <w:sz w:val="18"/>
                <w:szCs w:val="18"/>
              </w:rPr>
            </w:pPr>
            <w:r>
              <w:rPr>
                <w:rFonts w:ascii="Arial" w:eastAsia="Times New Roman" w:hAnsi="Arial" w:cs="Arial"/>
                <w:color w:val="000000"/>
                <w:sz w:val="18"/>
                <w:szCs w:val="18"/>
              </w:rPr>
              <w:t>New York</w:t>
            </w:r>
          </w:p>
        </w:tc>
        <w:tc>
          <w:tcPr>
            <w:tcW w:w="1522" w:type="dxa"/>
            <w:shd w:val="clear" w:color="auto" w:fill="auto"/>
            <w:noWrap/>
            <w:vAlign w:val="center"/>
          </w:tcPr>
          <w:p w14:paraId="020A8BDC" w14:textId="2CA5443C" w:rsidR="00FE03E9" w:rsidRPr="00C90B4C" w:rsidRDefault="00FE03E9" w:rsidP="00201222">
            <w:pPr>
              <w:jc w:val="center"/>
              <w:rPr>
                <w:rFonts w:ascii="Arial" w:hAnsi="Arial" w:cs="Arial"/>
                <w:sz w:val="18"/>
                <w:szCs w:val="18"/>
              </w:rPr>
            </w:pPr>
            <w:r>
              <w:rPr>
                <w:rFonts w:ascii="Arial" w:hAnsi="Arial" w:cs="Arial"/>
                <w:sz w:val="18"/>
                <w:szCs w:val="18"/>
              </w:rPr>
              <w:t>New York</w:t>
            </w:r>
          </w:p>
        </w:tc>
        <w:tc>
          <w:tcPr>
            <w:tcW w:w="1652" w:type="dxa"/>
            <w:shd w:val="clear" w:color="auto" w:fill="auto"/>
            <w:noWrap/>
            <w:vAlign w:val="center"/>
          </w:tcPr>
          <w:p w14:paraId="69A4309D" w14:textId="746EFA42" w:rsidR="00FE03E9" w:rsidRPr="00C90B4C" w:rsidRDefault="00367936" w:rsidP="00201222">
            <w:pPr>
              <w:jc w:val="center"/>
              <w:rPr>
                <w:rFonts w:ascii="Arial" w:hAnsi="Arial" w:cs="Arial"/>
                <w:sz w:val="18"/>
                <w:szCs w:val="18"/>
              </w:rPr>
            </w:pPr>
            <w:r>
              <w:rPr>
                <w:rFonts w:ascii="Arial" w:hAnsi="Arial" w:cs="Arial"/>
                <w:sz w:val="18"/>
                <w:szCs w:val="18"/>
              </w:rPr>
              <w:t>703.3</w:t>
            </w:r>
          </w:p>
        </w:tc>
      </w:tr>
      <w:tr w:rsidR="00FE03E9" w:rsidRPr="007C5459" w14:paraId="5E79FCFE" w14:textId="77777777" w:rsidTr="00427C94">
        <w:trPr>
          <w:trHeight w:val="300"/>
          <w:jc w:val="center"/>
        </w:trPr>
        <w:tc>
          <w:tcPr>
            <w:tcW w:w="1512" w:type="dxa"/>
            <w:shd w:val="clear" w:color="auto" w:fill="auto"/>
            <w:noWrap/>
            <w:vAlign w:val="center"/>
          </w:tcPr>
          <w:p w14:paraId="5BF590E3" w14:textId="287F62C1" w:rsidR="00FE03E9" w:rsidRPr="00C90B4C" w:rsidRDefault="00FE03E9" w:rsidP="00201222">
            <w:pPr>
              <w:jc w:val="center"/>
              <w:rPr>
                <w:rFonts w:ascii="Arial" w:hAnsi="Arial" w:cs="Arial"/>
                <w:sz w:val="18"/>
                <w:szCs w:val="18"/>
              </w:rPr>
            </w:pPr>
            <w:r>
              <w:rPr>
                <w:rFonts w:ascii="Arial" w:eastAsia="Times New Roman" w:hAnsi="Arial" w:cs="Arial"/>
                <w:color w:val="000000"/>
                <w:sz w:val="18"/>
                <w:szCs w:val="18"/>
              </w:rPr>
              <w:t>New York</w:t>
            </w:r>
          </w:p>
        </w:tc>
        <w:tc>
          <w:tcPr>
            <w:tcW w:w="1522" w:type="dxa"/>
            <w:shd w:val="clear" w:color="auto" w:fill="auto"/>
            <w:noWrap/>
            <w:vAlign w:val="center"/>
          </w:tcPr>
          <w:p w14:paraId="76C438B7" w14:textId="20BFFFB2" w:rsidR="00FE03E9" w:rsidRPr="00C90B4C" w:rsidRDefault="00367936" w:rsidP="00201222">
            <w:pPr>
              <w:jc w:val="center"/>
              <w:rPr>
                <w:rFonts w:ascii="Arial" w:hAnsi="Arial" w:cs="Arial"/>
                <w:sz w:val="18"/>
                <w:szCs w:val="18"/>
              </w:rPr>
            </w:pPr>
            <w:r>
              <w:rPr>
                <w:rFonts w:ascii="Arial" w:hAnsi="Arial" w:cs="Arial"/>
                <w:sz w:val="18"/>
                <w:szCs w:val="18"/>
              </w:rPr>
              <w:t>Bronx</w:t>
            </w:r>
          </w:p>
        </w:tc>
        <w:tc>
          <w:tcPr>
            <w:tcW w:w="1652" w:type="dxa"/>
            <w:shd w:val="clear" w:color="auto" w:fill="auto"/>
            <w:noWrap/>
            <w:vAlign w:val="center"/>
          </w:tcPr>
          <w:p w14:paraId="60C0C608" w14:textId="3918E736" w:rsidR="00FE03E9" w:rsidRPr="00C90B4C" w:rsidRDefault="00367936" w:rsidP="00201222">
            <w:pPr>
              <w:jc w:val="center"/>
              <w:rPr>
                <w:rFonts w:ascii="Arial" w:hAnsi="Arial" w:cs="Arial"/>
                <w:sz w:val="18"/>
                <w:szCs w:val="18"/>
              </w:rPr>
            </w:pPr>
            <w:r>
              <w:rPr>
                <w:rFonts w:ascii="Arial" w:hAnsi="Arial" w:cs="Arial"/>
                <w:sz w:val="18"/>
                <w:szCs w:val="18"/>
              </w:rPr>
              <w:t>119.2</w:t>
            </w:r>
          </w:p>
        </w:tc>
      </w:tr>
      <w:tr w:rsidR="00FE03E9" w:rsidRPr="007C5459" w14:paraId="3C061AB4" w14:textId="77777777" w:rsidTr="00427C94">
        <w:trPr>
          <w:trHeight w:val="300"/>
          <w:jc w:val="center"/>
        </w:trPr>
        <w:tc>
          <w:tcPr>
            <w:tcW w:w="1512" w:type="dxa"/>
            <w:shd w:val="clear" w:color="auto" w:fill="auto"/>
            <w:noWrap/>
            <w:vAlign w:val="center"/>
          </w:tcPr>
          <w:p w14:paraId="08EB7F2F" w14:textId="1FCF1E46" w:rsidR="00FE03E9" w:rsidRPr="00C90B4C" w:rsidRDefault="00FE03E9" w:rsidP="00201222">
            <w:pPr>
              <w:jc w:val="center"/>
              <w:rPr>
                <w:rFonts w:ascii="Arial" w:hAnsi="Arial" w:cs="Arial"/>
                <w:sz w:val="18"/>
                <w:szCs w:val="18"/>
              </w:rPr>
            </w:pPr>
            <w:r>
              <w:rPr>
                <w:rFonts w:ascii="Arial" w:eastAsia="Times New Roman" w:hAnsi="Arial" w:cs="Arial"/>
                <w:color w:val="000000"/>
                <w:sz w:val="18"/>
                <w:szCs w:val="18"/>
              </w:rPr>
              <w:t>New York</w:t>
            </w:r>
          </w:p>
        </w:tc>
        <w:tc>
          <w:tcPr>
            <w:tcW w:w="1522" w:type="dxa"/>
            <w:shd w:val="clear" w:color="auto" w:fill="auto"/>
            <w:noWrap/>
            <w:vAlign w:val="center"/>
          </w:tcPr>
          <w:p w14:paraId="4D7AD88F" w14:textId="463104C9" w:rsidR="00FE03E9" w:rsidRPr="00C90B4C" w:rsidRDefault="00367936" w:rsidP="00201222">
            <w:pPr>
              <w:jc w:val="center"/>
              <w:rPr>
                <w:rFonts w:ascii="Arial" w:hAnsi="Arial" w:cs="Arial"/>
                <w:sz w:val="18"/>
                <w:szCs w:val="18"/>
              </w:rPr>
            </w:pPr>
            <w:r>
              <w:rPr>
                <w:rFonts w:ascii="Arial" w:hAnsi="Arial" w:cs="Arial"/>
                <w:sz w:val="18"/>
                <w:szCs w:val="18"/>
              </w:rPr>
              <w:t>King</w:t>
            </w:r>
            <w:r w:rsidR="00754453">
              <w:rPr>
                <w:rFonts w:ascii="Arial" w:hAnsi="Arial" w:cs="Arial"/>
                <w:sz w:val="18"/>
                <w:szCs w:val="18"/>
              </w:rPr>
              <w:t>s</w:t>
            </w:r>
          </w:p>
        </w:tc>
        <w:tc>
          <w:tcPr>
            <w:tcW w:w="1652" w:type="dxa"/>
            <w:shd w:val="clear" w:color="auto" w:fill="auto"/>
            <w:noWrap/>
            <w:vAlign w:val="center"/>
          </w:tcPr>
          <w:p w14:paraId="7CD2BF69" w14:textId="1F3ED32B" w:rsidR="00FE03E9" w:rsidRPr="00C90B4C" w:rsidRDefault="00367936" w:rsidP="00201222">
            <w:pPr>
              <w:jc w:val="center"/>
              <w:rPr>
                <w:rFonts w:ascii="Arial" w:hAnsi="Arial" w:cs="Arial"/>
                <w:sz w:val="18"/>
                <w:szCs w:val="18"/>
              </w:rPr>
            </w:pPr>
            <w:r>
              <w:rPr>
                <w:rFonts w:ascii="Arial" w:hAnsi="Arial" w:cs="Arial"/>
                <w:sz w:val="18"/>
                <w:szCs w:val="18"/>
              </w:rPr>
              <w:t>114.4</w:t>
            </w:r>
          </w:p>
        </w:tc>
      </w:tr>
      <w:tr w:rsidR="00201222" w:rsidRPr="007C5459" w14:paraId="67241966" w14:textId="77777777" w:rsidTr="00A15D31">
        <w:trPr>
          <w:trHeight w:val="300"/>
          <w:jc w:val="center"/>
        </w:trPr>
        <w:tc>
          <w:tcPr>
            <w:tcW w:w="4686" w:type="dxa"/>
            <w:gridSpan w:val="3"/>
            <w:shd w:val="clear" w:color="auto" w:fill="C6D9F1" w:themeFill="text2" w:themeFillTint="33"/>
            <w:noWrap/>
            <w:vAlign w:val="center"/>
          </w:tcPr>
          <w:p w14:paraId="513B3319" w14:textId="77777777" w:rsidR="00201222" w:rsidRPr="00C90B4C" w:rsidRDefault="00201222" w:rsidP="00201222">
            <w:pPr>
              <w:jc w:val="center"/>
              <w:rPr>
                <w:rFonts w:ascii="Arial" w:hAnsi="Arial" w:cs="Arial"/>
                <w:b/>
                <w:sz w:val="18"/>
                <w:szCs w:val="18"/>
              </w:rPr>
            </w:pPr>
            <w:r w:rsidRPr="00C90B4C">
              <w:rPr>
                <w:rFonts w:ascii="Arial" w:eastAsia="Times New Roman" w:hAnsi="Arial" w:cs="Arial"/>
                <w:b/>
                <w:color w:val="000000"/>
                <w:sz w:val="20"/>
                <w:szCs w:val="18"/>
              </w:rPr>
              <w:t>Manufacturing Sector</w:t>
            </w:r>
          </w:p>
        </w:tc>
      </w:tr>
      <w:tr w:rsidR="00201222" w:rsidRPr="007C5459" w14:paraId="3086E116" w14:textId="77777777" w:rsidTr="00427C94">
        <w:trPr>
          <w:trHeight w:val="300"/>
          <w:jc w:val="center"/>
        </w:trPr>
        <w:tc>
          <w:tcPr>
            <w:tcW w:w="1512" w:type="dxa"/>
            <w:shd w:val="clear" w:color="auto" w:fill="auto"/>
            <w:noWrap/>
            <w:vAlign w:val="center"/>
          </w:tcPr>
          <w:p w14:paraId="6EEF5DA8" w14:textId="050E6AF9" w:rsidR="00201222" w:rsidRPr="00C90B4C" w:rsidRDefault="0014553C" w:rsidP="00201222">
            <w:pPr>
              <w:jc w:val="center"/>
              <w:rPr>
                <w:rFonts w:ascii="Arial" w:hAnsi="Arial" w:cs="Arial"/>
                <w:sz w:val="18"/>
                <w:szCs w:val="18"/>
              </w:rPr>
            </w:pPr>
            <w:r>
              <w:rPr>
                <w:rFonts w:ascii="Arial" w:hAnsi="Arial" w:cs="Arial"/>
                <w:sz w:val="18"/>
                <w:szCs w:val="18"/>
              </w:rPr>
              <w:t>Virginia</w:t>
            </w:r>
          </w:p>
        </w:tc>
        <w:tc>
          <w:tcPr>
            <w:tcW w:w="1522" w:type="dxa"/>
            <w:shd w:val="clear" w:color="auto" w:fill="auto"/>
            <w:noWrap/>
            <w:vAlign w:val="center"/>
          </w:tcPr>
          <w:p w14:paraId="6FE8DCAE" w14:textId="1C3B69AB" w:rsidR="00201222" w:rsidRPr="00C90B4C" w:rsidRDefault="0014553C" w:rsidP="00201222">
            <w:pPr>
              <w:jc w:val="center"/>
              <w:rPr>
                <w:rFonts w:ascii="Arial" w:hAnsi="Arial" w:cs="Arial"/>
                <w:sz w:val="18"/>
                <w:szCs w:val="18"/>
              </w:rPr>
            </w:pPr>
            <w:r>
              <w:rPr>
                <w:rFonts w:ascii="Arial" w:hAnsi="Arial" w:cs="Arial"/>
                <w:sz w:val="18"/>
                <w:szCs w:val="18"/>
              </w:rPr>
              <w:t>Hopewell City</w:t>
            </w:r>
          </w:p>
        </w:tc>
        <w:tc>
          <w:tcPr>
            <w:tcW w:w="1652" w:type="dxa"/>
            <w:shd w:val="clear" w:color="auto" w:fill="auto"/>
            <w:noWrap/>
            <w:vAlign w:val="center"/>
          </w:tcPr>
          <w:p w14:paraId="5366F9B8" w14:textId="486759DF" w:rsidR="00201222" w:rsidRPr="00C90B4C" w:rsidRDefault="0014553C" w:rsidP="00201222">
            <w:pPr>
              <w:jc w:val="center"/>
              <w:rPr>
                <w:rFonts w:ascii="Arial" w:hAnsi="Arial" w:cs="Arial"/>
                <w:sz w:val="18"/>
                <w:szCs w:val="18"/>
              </w:rPr>
            </w:pPr>
            <w:r>
              <w:rPr>
                <w:rFonts w:ascii="Arial" w:hAnsi="Arial" w:cs="Arial"/>
                <w:sz w:val="18"/>
                <w:szCs w:val="18"/>
              </w:rPr>
              <w:t>24.0</w:t>
            </w:r>
          </w:p>
        </w:tc>
      </w:tr>
      <w:tr w:rsidR="00201222" w:rsidRPr="007C5459" w14:paraId="43993C9E" w14:textId="77777777" w:rsidTr="00427C94">
        <w:trPr>
          <w:trHeight w:val="300"/>
          <w:jc w:val="center"/>
        </w:trPr>
        <w:tc>
          <w:tcPr>
            <w:tcW w:w="1512" w:type="dxa"/>
            <w:shd w:val="clear" w:color="auto" w:fill="auto"/>
            <w:noWrap/>
            <w:vAlign w:val="center"/>
          </w:tcPr>
          <w:p w14:paraId="4175C948" w14:textId="3CE9412B" w:rsidR="00201222" w:rsidRPr="00C90B4C" w:rsidRDefault="0014553C" w:rsidP="00201222">
            <w:pPr>
              <w:jc w:val="center"/>
              <w:rPr>
                <w:rFonts w:ascii="Arial" w:hAnsi="Arial" w:cs="Arial"/>
                <w:sz w:val="18"/>
                <w:szCs w:val="18"/>
              </w:rPr>
            </w:pPr>
            <w:r>
              <w:rPr>
                <w:rFonts w:ascii="Arial" w:hAnsi="Arial" w:cs="Arial"/>
                <w:sz w:val="18"/>
                <w:szCs w:val="18"/>
              </w:rPr>
              <w:t>Virginia</w:t>
            </w:r>
          </w:p>
        </w:tc>
        <w:tc>
          <w:tcPr>
            <w:tcW w:w="1522" w:type="dxa"/>
            <w:shd w:val="clear" w:color="auto" w:fill="auto"/>
            <w:noWrap/>
            <w:vAlign w:val="center"/>
          </w:tcPr>
          <w:p w14:paraId="5EB7A326" w14:textId="0B4960AF" w:rsidR="00201222" w:rsidRPr="00C90B4C" w:rsidRDefault="0014553C" w:rsidP="00201222">
            <w:pPr>
              <w:jc w:val="center"/>
              <w:rPr>
                <w:rFonts w:ascii="Arial" w:hAnsi="Arial" w:cs="Arial"/>
                <w:sz w:val="18"/>
                <w:szCs w:val="18"/>
              </w:rPr>
            </w:pPr>
            <w:r>
              <w:rPr>
                <w:rFonts w:ascii="Arial" w:hAnsi="Arial" w:cs="Arial"/>
                <w:sz w:val="18"/>
                <w:szCs w:val="18"/>
              </w:rPr>
              <w:t>Covington City</w:t>
            </w:r>
          </w:p>
        </w:tc>
        <w:tc>
          <w:tcPr>
            <w:tcW w:w="1652" w:type="dxa"/>
            <w:shd w:val="clear" w:color="auto" w:fill="auto"/>
            <w:noWrap/>
            <w:vAlign w:val="center"/>
          </w:tcPr>
          <w:p w14:paraId="45FADA65" w14:textId="63646F18" w:rsidR="00201222" w:rsidRPr="00C90B4C" w:rsidRDefault="0014553C" w:rsidP="00201222">
            <w:pPr>
              <w:jc w:val="center"/>
              <w:rPr>
                <w:rFonts w:ascii="Arial" w:hAnsi="Arial" w:cs="Arial"/>
                <w:sz w:val="18"/>
                <w:szCs w:val="18"/>
              </w:rPr>
            </w:pPr>
            <w:r>
              <w:rPr>
                <w:rFonts w:ascii="Arial" w:hAnsi="Arial" w:cs="Arial"/>
                <w:sz w:val="18"/>
                <w:szCs w:val="18"/>
              </w:rPr>
              <w:t>15.2</w:t>
            </w:r>
          </w:p>
        </w:tc>
      </w:tr>
      <w:tr w:rsidR="00201222" w:rsidRPr="007C5459" w14:paraId="253A2D1A" w14:textId="77777777" w:rsidTr="00427C94">
        <w:trPr>
          <w:trHeight w:val="300"/>
          <w:jc w:val="center"/>
        </w:trPr>
        <w:tc>
          <w:tcPr>
            <w:tcW w:w="1512" w:type="dxa"/>
            <w:shd w:val="clear" w:color="auto" w:fill="auto"/>
            <w:noWrap/>
            <w:vAlign w:val="center"/>
          </w:tcPr>
          <w:p w14:paraId="68B750C3" w14:textId="542D5681" w:rsidR="00201222" w:rsidRPr="00C90B4C" w:rsidRDefault="0014553C" w:rsidP="00201222">
            <w:pPr>
              <w:jc w:val="center"/>
              <w:rPr>
                <w:rFonts w:ascii="Arial" w:hAnsi="Arial" w:cs="Arial"/>
                <w:sz w:val="18"/>
                <w:szCs w:val="18"/>
              </w:rPr>
            </w:pPr>
            <w:r>
              <w:rPr>
                <w:rFonts w:ascii="Arial" w:hAnsi="Arial" w:cs="Arial"/>
                <w:sz w:val="18"/>
                <w:szCs w:val="18"/>
              </w:rPr>
              <w:t>Virginia</w:t>
            </w:r>
          </w:p>
        </w:tc>
        <w:tc>
          <w:tcPr>
            <w:tcW w:w="1522" w:type="dxa"/>
            <w:shd w:val="clear" w:color="auto" w:fill="auto"/>
            <w:noWrap/>
            <w:vAlign w:val="center"/>
          </w:tcPr>
          <w:p w14:paraId="5BA24119" w14:textId="65E35427" w:rsidR="00201222" w:rsidRPr="00C90B4C" w:rsidRDefault="0014553C" w:rsidP="00201222">
            <w:pPr>
              <w:jc w:val="center"/>
              <w:rPr>
                <w:rFonts w:ascii="Arial" w:hAnsi="Arial" w:cs="Arial"/>
                <w:sz w:val="18"/>
                <w:szCs w:val="18"/>
              </w:rPr>
            </w:pPr>
            <w:r>
              <w:rPr>
                <w:rFonts w:ascii="Arial" w:hAnsi="Arial" w:cs="Arial"/>
                <w:sz w:val="18"/>
                <w:szCs w:val="18"/>
              </w:rPr>
              <w:t>Bristol City</w:t>
            </w:r>
          </w:p>
        </w:tc>
        <w:tc>
          <w:tcPr>
            <w:tcW w:w="1652" w:type="dxa"/>
            <w:shd w:val="clear" w:color="auto" w:fill="auto"/>
            <w:noWrap/>
            <w:vAlign w:val="center"/>
          </w:tcPr>
          <w:p w14:paraId="7AA84A60" w14:textId="635CBF08" w:rsidR="00201222" w:rsidRPr="00C90B4C" w:rsidRDefault="0014553C" w:rsidP="00201222">
            <w:pPr>
              <w:jc w:val="center"/>
              <w:rPr>
                <w:rFonts w:ascii="Arial" w:hAnsi="Arial" w:cs="Arial"/>
                <w:sz w:val="18"/>
                <w:szCs w:val="18"/>
              </w:rPr>
            </w:pPr>
            <w:r>
              <w:rPr>
                <w:rFonts w:ascii="Arial" w:hAnsi="Arial" w:cs="Arial"/>
                <w:sz w:val="18"/>
                <w:szCs w:val="18"/>
              </w:rPr>
              <w:t>11.9</w:t>
            </w:r>
          </w:p>
        </w:tc>
      </w:tr>
      <w:tr w:rsidR="00201222" w:rsidRPr="007C5459" w14:paraId="2B7F1070" w14:textId="77777777" w:rsidTr="00A15D31">
        <w:trPr>
          <w:trHeight w:val="300"/>
          <w:jc w:val="center"/>
        </w:trPr>
        <w:tc>
          <w:tcPr>
            <w:tcW w:w="4686" w:type="dxa"/>
            <w:gridSpan w:val="3"/>
            <w:shd w:val="clear" w:color="auto" w:fill="C6D9F1" w:themeFill="text2" w:themeFillTint="33"/>
            <w:noWrap/>
            <w:vAlign w:val="center"/>
          </w:tcPr>
          <w:p w14:paraId="43E10B66" w14:textId="77777777" w:rsidR="00201222" w:rsidRPr="00C90B4C" w:rsidRDefault="00201222" w:rsidP="00201222">
            <w:pPr>
              <w:jc w:val="center"/>
              <w:rPr>
                <w:rFonts w:ascii="Arial" w:hAnsi="Arial" w:cs="Arial"/>
                <w:b/>
                <w:sz w:val="18"/>
                <w:szCs w:val="18"/>
              </w:rPr>
            </w:pPr>
            <w:r w:rsidRPr="00C90B4C">
              <w:rPr>
                <w:rFonts w:ascii="Arial" w:eastAsia="Times New Roman" w:hAnsi="Arial" w:cs="Arial"/>
                <w:b/>
                <w:color w:val="000000"/>
                <w:sz w:val="20"/>
                <w:szCs w:val="18"/>
              </w:rPr>
              <w:t>Agricultural Sector</w:t>
            </w:r>
          </w:p>
        </w:tc>
      </w:tr>
      <w:tr w:rsidR="00201222" w:rsidRPr="007C5459" w14:paraId="687E18AD" w14:textId="77777777" w:rsidTr="00427C94">
        <w:trPr>
          <w:trHeight w:val="300"/>
          <w:jc w:val="center"/>
        </w:trPr>
        <w:tc>
          <w:tcPr>
            <w:tcW w:w="1512" w:type="dxa"/>
            <w:shd w:val="clear" w:color="auto" w:fill="auto"/>
            <w:noWrap/>
            <w:vAlign w:val="center"/>
          </w:tcPr>
          <w:p w14:paraId="44A65DFF" w14:textId="5A2F7A51" w:rsidR="00201222" w:rsidRPr="00C90B4C" w:rsidRDefault="0014553C" w:rsidP="00201222">
            <w:pPr>
              <w:jc w:val="center"/>
              <w:rPr>
                <w:rFonts w:ascii="Arial" w:hAnsi="Arial" w:cs="Arial"/>
                <w:sz w:val="18"/>
                <w:szCs w:val="18"/>
              </w:rPr>
            </w:pPr>
            <w:r>
              <w:rPr>
                <w:rFonts w:ascii="Arial" w:hAnsi="Arial" w:cs="Arial"/>
                <w:sz w:val="18"/>
                <w:szCs w:val="18"/>
              </w:rPr>
              <w:t>North Carolina</w:t>
            </w:r>
          </w:p>
        </w:tc>
        <w:tc>
          <w:tcPr>
            <w:tcW w:w="1522" w:type="dxa"/>
            <w:shd w:val="clear" w:color="auto" w:fill="auto"/>
            <w:noWrap/>
            <w:vAlign w:val="center"/>
          </w:tcPr>
          <w:p w14:paraId="3D70DA27" w14:textId="3509FA63" w:rsidR="00201222" w:rsidRPr="00C90B4C" w:rsidRDefault="0014553C" w:rsidP="00201222">
            <w:pPr>
              <w:jc w:val="center"/>
              <w:rPr>
                <w:rFonts w:ascii="Arial" w:hAnsi="Arial" w:cs="Arial"/>
                <w:sz w:val="18"/>
                <w:szCs w:val="18"/>
              </w:rPr>
            </w:pPr>
            <w:r>
              <w:rPr>
                <w:rFonts w:ascii="Arial" w:hAnsi="Arial" w:cs="Arial"/>
                <w:sz w:val="18"/>
                <w:szCs w:val="18"/>
              </w:rPr>
              <w:t>Avery</w:t>
            </w:r>
          </w:p>
        </w:tc>
        <w:tc>
          <w:tcPr>
            <w:tcW w:w="1652" w:type="dxa"/>
            <w:shd w:val="clear" w:color="auto" w:fill="auto"/>
            <w:noWrap/>
            <w:vAlign w:val="center"/>
          </w:tcPr>
          <w:p w14:paraId="2D6DCDD4" w14:textId="7A272001" w:rsidR="00201222" w:rsidRPr="00C90B4C" w:rsidRDefault="0014553C" w:rsidP="00201222">
            <w:pPr>
              <w:jc w:val="center"/>
              <w:rPr>
                <w:rFonts w:ascii="Arial" w:hAnsi="Arial" w:cs="Arial"/>
                <w:sz w:val="18"/>
                <w:szCs w:val="18"/>
              </w:rPr>
            </w:pPr>
            <w:r>
              <w:rPr>
                <w:rFonts w:ascii="Arial" w:hAnsi="Arial" w:cs="Arial"/>
                <w:sz w:val="18"/>
                <w:szCs w:val="18"/>
              </w:rPr>
              <w:t>0.23</w:t>
            </w:r>
          </w:p>
        </w:tc>
      </w:tr>
      <w:tr w:rsidR="00201222" w:rsidRPr="007C5459" w14:paraId="64A8268C" w14:textId="77777777" w:rsidTr="00427C94">
        <w:trPr>
          <w:trHeight w:val="300"/>
          <w:jc w:val="center"/>
        </w:trPr>
        <w:tc>
          <w:tcPr>
            <w:tcW w:w="1512" w:type="dxa"/>
            <w:shd w:val="clear" w:color="auto" w:fill="auto"/>
            <w:noWrap/>
            <w:vAlign w:val="center"/>
          </w:tcPr>
          <w:p w14:paraId="48859CCF" w14:textId="0CE6404C" w:rsidR="00201222" w:rsidRPr="00C90B4C" w:rsidRDefault="0014553C" w:rsidP="00201222">
            <w:pPr>
              <w:jc w:val="center"/>
              <w:rPr>
                <w:rFonts w:ascii="Arial" w:hAnsi="Arial" w:cs="Arial"/>
                <w:sz w:val="18"/>
                <w:szCs w:val="18"/>
              </w:rPr>
            </w:pPr>
            <w:r>
              <w:rPr>
                <w:rFonts w:ascii="Arial" w:hAnsi="Arial" w:cs="Arial"/>
                <w:sz w:val="18"/>
                <w:szCs w:val="18"/>
              </w:rPr>
              <w:t>North Carolina</w:t>
            </w:r>
          </w:p>
        </w:tc>
        <w:tc>
          <w:tcPr>
            <w:tcW w:w="1522" w:type="dxa"/>
            <w:shd w:val="clear" w:color="auto" w:fill="auto"/>
            <w:noWrap/>
            <w:vAlign w:val="center"/>
          </w:tcPr>
          <w:p w14:paraId="48DD839F" w14:textId="17FD74A0" w:rsidR="00201222" w:rsidRPr="00C90B4C" w:rsidRDefault="0014553C" w:rsidP="00201222">
            <w:pPr>
              <w:jc w:val="center"/>
              <w:rPr>
                <w:rFonts w:ascii="Arial" w:hAnsi="Arial" w:cs="Arial"/>
                <w:sz w:val="18"/>
                <w:szCs w:val="18"/>
              </w:rPr>
            </w:pPr>
            <w:r>
              <w:rPr>
                <w:rFonts w:ascii="Arial" w:hAnsi="Arial" w:cs="Arial"/>
                <w:sz w:val="18"/>
                <w:szCs w:val="18"/>
              </w:rPr>
              <w:t>Ashe</w:t>
            </w:r>
          </w:p>
        </w:tc>
        <w:tc>
          <w:tcPr>
            <w:tcW w:w="1652" w:type="dxa"/>
            <w:shd w:val="clear" w:color="auto" w:fill="auto"/>
            <w:noWrap/>
            <w:vAlign w:val="center"/>
          </w:tcPr>
          <w:p w14:paraId="750F3D1B" w14:textId="0B4A986E" w:rsidR="00201222" w:rsidRPr="00C90B4C" w:rsidRDefault="0014553C" w:rsidP="00201222">
            <w:pPr>
              <w:jc w:val="center"/>
              <w:rPr>
                <w:rFonts w:ascii="Arial" w:hAnsi="Arial" w:cs="Arial"/>
                <w:sz w:val="18"/>
                <w:szCs w:val="18"/>
              </w:rPr>
            </w:pPr>
            <w:r>
              <w:rPr>
                <w:rFonts w:ascii="Arial" w:hAnsi="Arial" w:cs="Arial"/>
                <w:sz w:val="18"/>
                <w:szCs w:val="18"/>
              </w:rPr>
              <w:t>0.14</w:t>
            </w:r>
          </w:p>
        </w:tc>
      </w:tr>
      <w:tr w:rsidR="00201222" w:rsidRPr="007C5459" w14:paraId="6C320D56" w14:textId="77777777" w:rsidTr="00427C94">
        <w:trPr>
          <w:trHeight w:val="300"/>
          <w:jc w:val="center"/>
        </w:trPr>
        <w:tc>
          <w:tcPr>
            <w:tcW w:w="1512" w:type="dxa"/>
            <w:shd w:val="clear" w:color="auto" w:fill="auto"/>
            <w:noWrap/>
            <w:vAlign w:val="center"/>
          </w:tcPr>
          <w:p w14:paraId="21DBBEE0" w14:textId="3C66C91B" w:rsidR="00201222" w:rsidRPr="00C90B4C" w:rsidRDefault="0014553C" w:rsidP="00201222">
            <w:pPr>
              <w:jc w:val="center"/>
              <w:rPr>
                <w:rFonts w:ascii="Arial" w:hAnsi="Arial" w:cs="Arial"/>
                <w:sz w:val="18"/>
                <w:szCs w:val="18"/>
              </w:rPr>
            </w:pPr>
            <w:r>
              <w:rPr>
                <w:rFonts w:ascii="Arial" w:hAnsi="Arial" w:cs="Arial"/>
                <w:sz w:val="18"/>
                <w:szCs w:val="18"/>
              </w:rPr>
              <w:t>California</w:t>
            </w:r>
          </w:p>
        </w:tc>
        <w:tc>
          <w:tcPr>
            <w:tcW w:w="1522" w:type="dxa"/>
            <w:shd w:val="clear" w:color="auto" w:fill="auto"/>
            <w:noWrap/>
            <w:vAlign w:val="center"/>
          </w:tcPr>
          <w:p w14:paraId="06364E14" w14:textId="69307978" w:rsidR="00201222" w:rsidRPr="00C90B4C" w:rsidRDefault="0014553C" w:rsidP="00201222">
            <w:pPr>
              <w:jc w:val="center"/>
              <w:rPr>
                <w:rFonts w:ascii="Arial" w:hAnsi="Arial" w:cs="Arial"/>
                <w:sz w:val="18"/>
                <w:szCs w:val="18"/>
              </w:rPr>
            </w:pPr>
            <w:r>
              <w:rPr>
                <w:rFonts w:ascii="Arial" w:hAnsi="Arial" w:cs="Arial"/>
                <w:sz w:val="18"/>
                <w:szCs w:val="18"/>
              </w:rPr>
              <w:t>Santa Cruz</w:t>
            </w:r>
          </w:p>
        </w:tc>
        <w:tc>
          <w:tcPr>
            <w:tcW w:w="1652" w:type="dxa"/>
            <w:shd w:val="clear" w:color="auto" w:fill="auto"/>
            <w:noWrap/>
            <w:vAlign w:val="center"/>
          </w:tcPr>
          <w:p w14:paraId="6C5DF94E" w14:textId="22021F48" w:rsidR="00201222" w:rsidRPr="00C90B4C" w:rsidRDefault="0014553C" w:rsidP="00201222">
            <w:pPr>
              <w:jc w:val="center"/>
              <w:rPr>
                <w:rFonts w:ascii="Arial" w:hAnsi="Arial" w:cs="Arial"/>
                <w:sz w:val="18"/>
                <w:szCs w:val="18"/>
              </w:rPr>
            </w:pPr>
            <w:r>
              <w:rPr>
                <w:rFonts w:ascii="Arial" w:hAnsi="Arial" w:cs="Arial"/>
                <w:sz w:val="18"/>
                <w:szCs w:val="18"/>
              </w:rPr>
              <w:t>0.10</w:t>
            </w:r>
          </w:p>
        </w:tc>
      </w:tr>
    </w:tbl>
    <w:p w14:paraId="67F8618E" w14:textId="77777777" w:rsidR="00201222" w:rsidRPr="00427C94" w:rsidRDefault="00201222" w:rsidP="00427C94">
      <w:pPr>
        <w:jc w:val="center"/>
      </w:pPr>
    </w:p>
    <w:p w14:paraId="4F581099" w14:textId="77777777" w:rsidR="00AF3531" w:rsidRDefault="00AF3531" w:rsidP="00AF3531">
      <w:pPr>
        <w:rPr>
          <w:rFonts w:cs="Times New Roman"/>
        </w:rPr>
      </w:pPr>
      <w:r>
        <w:rPr>
          <w:rFonts w:cs="Times New Roman"/>
          <w:b/>
          <w:sz w:val="28"/>
          <w:szCs w:val="28"/>
        </w:rPr>
        <w:t>Conclusion and Future Work</w:t>
      </w:r>
    </w:p>
    <w:p w14:paraId="5248DEAA" w14:textId="61917E3D" w:rsidR="00AF3531" w:rsidRDefault="00A31DC3" w:rsidP="00AF3531">
      <w:pPr>
        <w:rPr>
          <w:rFonts w:cs="Times New Roman"/>
        </w:rPr>
      </w:pPr>
      <w:r>
        <w:rPr>
          <w:rFonts w:cs="Times New Roman"/>
        </w:rPr>
        <w:t>To date, we have completed a thorough analysis of available data, disaggregation of data to the county-level</w:t>
      </w:r>
      <w:r w:rsidR="00783AD3">
        <w:rPr>
          <w:rFonts w:cs="Times New Roman"/>
        </w:rPr>
        <w:t>,</w:t>
      </w:r>
      <w:r>
        <w:rPr>
          <w:rFonts w:cs="Times New Roman"/>
        </w:rPr>
        <w:t xml:space="preserve"> and preliminary presentation of these data</w:t>
      </w:r>
      <w:r w:rsidR="00AF3531">
        <w:rPr>
          <w:rFonts w:cs="Times New Roman"/>
        </w:rPr>
        <w:t xml:space="preserve">. Further data processing </w:t>
      </w:r>
      <w:r>
        <w:rPr>
          <w:rFonts w:cs="Times New Roman"/>
        </w:rPr>
        <w:t>of the data</w:t>
      </w:r>
      <w:r w:rsidR="00AF3531">
        <w:rPr>
          <w:rFonts w:cs="Times New Roman"/>
        </w:rPr>
        <w:t xml:space="preserve"> is underway, including research into the </w:t>
      </w:r>
      <w:r w:rsidR="0074117C">
        <w:rPr>
          <w:rFonts w:cs="Times New Roman"/>
        </w:rPr>
        <w:t xml:space="preserve">use of geothermal </w:t>
      </w:r>
      <w:r w:rsidR="00F84BC9">
        <w:rPr>
          <w:rFonts w:cs="Times New Roman"/>
        </w:rPr>
        <w:t>DU</w:t>
      </w:r>
      <w:r w:rsidR="0074117C">
        <w:rPr>
          <w:rFonts w:cs="Times New Roman"/>
        </w:rPr>
        <w:t xml:space="preserve"> to meet </w:t>
      </w:r>
      <w:r w:rsidR="00AF3531">
        <w:rPr>
          <w:rFonts w:cs="Times New Roman"/>
        </w:rPr>
        <w:t xml:space="preserve">these </w:t>
      </w:r>
      <w:r w:rsidR="0074117C">
        <w:rPr>
          <w:rFonts w:cs="Times New Roman"/>
        </w:rPr>
        <w:t xml:space="preserve">heating </w:t>
      </w:r>
      <w:r w:rsidR="00AF3531">
        <w:rPr>
          <w:rFonts w:cs="Times New Roman"/>
        </w:rPr>
        <w:t>demand</w:t>
      </w:r>
      <w:r w:rsidR="0074117C">
        <w:rPr>
          <w:rFonts w:cs="Times New Roman"/>
        </w:rPr>
        <w:t>s</w:t>
      </w:r>
      <w:r w:rsidR="00AF3531">
        <w:rPr>
          <w:rFonts w:cs="Times New Roman"/>
        </w:rPr>
        <w:t>, such as retrofitted district heating systems. According to a 2010 study (Thorsteinsson and Tester), there are an estimated 21 geothermal district heating systems in the United States, operating with a total capacity of about 100 MW</w:t>
      </w:r>
      <w:r w:rsidR="00AF3531">
        <w:rPr>
          <w:rFonts w:cs="Times New Roman"/>
          <w:vertAlign w:val="subscript"/>
        </w:rPr>
        <w:t>t</w:t>
      </w:r>
      <w:r w:rsidR="00AF3531">
        <w:rPr>
          <w:rFonts w:cs="Times New Roman"/>
        </w:rPr>
        <w:t xml:space="preserve">. In addition, </w:t>
      </w:r>
      <w:r>
        <w:rPr>
          <w:rFonts w:cs="Times New Roman"/>
        </w:rPr>
        <w:t xml:space="preserve">carbon dioxide </w:t>
      </w:r>
      <w:r w:rsidR="00AF3531">
        <w:rPr>
          <w:rFonts w:cs="Times New Roman"/>
        </w:rPr>
        <w:t>emissions from space and water heating (as well as cooking activities) in the residential and commercial sectors in 2006 amounted to about 470 million metric tons, representing an even greater opportunity for low-temperature geothermal DU deployment</w:t>
      </w:r>
      <w:r w:rsidR="0074117C">
        <w:rPr>
          <w:rFonts w:cs="Times New Roman"/>
        </w:rPr>
        <w:t xml:space="preserve"> in reducing carbon emissions</w:t>
      </w:r>
      <w:r w:rsidR="00AF3531">
        <w:rPr>
          <w:rFonts w:cs="Times New Roman"/>
        </w:rPr>
        <w:t>.</w:t>
      </w:r>
    </w:p>
    <w:p w14:paraId="57B8105C" w14:textId="77777777" w:rsidR="00003646" w:rsidRDefault="00003646" w:rsidP="00AF3531">
      <w:pPr>
        <w:rPr>
          <w:rFonts w:cs="Times New Roman"/>
        </w:rPr>
      </w:pPr>
    </w:p>
    <w:p w14:paraId="4B58822C" w14:textId="2E028B06" w:rsidR="00003646" w:rsidRPr="007958AE" w:rsidRDefault="00003646" w:rsidP="00AF3531">
      <w:pPr>
        <w:rPr>
          <w:rFonts w:cs="Times New Roman"/>
        </w:rPr>
      </w:pPr>
      <w:r>
        <w:rPr>
          <w:rFonts w:cs="Times New Roman"/>
        </w:rPr>
        <w:t>Planned work by NREL in the progression of the GVS includes</w:t>
      </w:r>
      <w:r w:rsidR="00181D7E">
        <w:rPr>
          <w:rFonts w:cs="Times New Roman"/>
        </w:rPr>
        <w:t xml:space="preserve"> integrating the resource potential analysis (Mullane et al.</w:t>
      </w:r>
      <w:r w:rsidR="00EA6CC4">
        <w:rPr>
          <w:rFonts w:cs="Times New Roman"/>
        </w:rPr>
        <w:t xml:space="preserve"> 2016)</w:t>
      </w:r>
      <w:r w:rsidR="00181D7E">
        <w:rPr>
          <w:rFonts w:cs="Times New Roman"/>
        </w:rPr>
        <w:t xml:space="preserve"> that was completed in parallel with this heat</w:t>
      </w:r>
      <w:r w:rsidR="00EA6CC4">
        <w:rPr>
          <w:rFonts w:cs="Times New Roman"/>
        </w:rPr>
        <w:t xml:space="preserve"> demand analysis. This will give a collocated resource-demand map for use in future economic and market</w:t>
      </w:r>
      <w:r w:rsidR="00BE0FFF">
        <w:rPr>
          <w:rFonts w:cs="Times New Roman"/>
        </w:rPr>
        <w:t xml:space="preserve"> potential studies. N</w:t>
      </w:r>
      <w:r w:rsidR="00EA6CC4">
        <w:rPr>
          <w:rFonts w:cs="Times New Roman"/>
        </w:rPr>
        <w:t xml:space="preserve">ote that these future studies </w:t>
      </w:r>
      <w:r w:rsidR="00D56A60">
        <w:rPr>
          <w:rFonts w:cs="Times New Roman"/>
        </w:rPr>
        <w:t xml:space="preserve">will </w:t>
      </w:r>
      <w:r w:rsidR="00EA6CC4">
        <w:rPr>
          <w:rFonts w:cs="Times New Roman"/>
        </w:rPr>
        <w:t>incorporate costs and market effects of geothermal DU inte</w:t>
      </w:r>
      <w:r w:rsidR="00BE0FFF">
        <w:rPr>
          <w:rFonts w:cs="Times New Roman"/>
        </w:rPr>
        <w:t>gration. T</w:t>
      </w:r>
      <w:r w:rsidR="00EA6CC4">
        <w:rPr>
          <w:rFonts w:cs="Times New Roman"/>
        </w:rPr>
        <w:t xml:space="preserve">he study presented here does not include </w:t>
      </w:r>
      <w:r w:rsidR="00BE0FFF">
        <w:rPr>
          <w:rFonts w:cs="Times New Roman"/>
        </w:rPr>
        <w:t xml:space="preserve">any </w:t>
      </w:r>
      <w:r w:rsidR="00EA6CC4">
        <w:rPr>
          <w:rFonts w:cs="Times New Roman"/>
        </w:rPr>
        <w:t>economic implications.</w:t>
      </w:r>
    </w:p>
    <w:p w14:paraId="5092F151" w14:textId="77777777" w:rsidR="00AF3531" w:rsidRDefault="00AF3531" w:rsidP="00AF3531">
      <w:pPr>
        <w:rPr>
          <w:rFonts w:cs="Times New Roman"/>
        </w:rPr>
      </w:pPr>
    </w:p>
    <w:p w14:paraId="30409295" w14:textId="4255683E" w:rsidR="00AF3531" w:rsidRDefault="00AF3531" w:rsidP="00AF3531">
      <w:pPr>
        <w:rPr>
          <w:rFonts w:cs="Times New Roman"/>
        </w:rPr>
      </w:pPr>
      <w:r>
        <w:rPr>
          <w:rFonts w:cs="Times New Roman"/>
        </w:rPr>
        <w:t xml:space="preserve">In </w:t>
      </w:r>
      <w:r w:rsidR="00E60F58">
        <w:rPr>
          <w:rFonts w:cs="Times New Roman"/>
        </w:rPr>
        <w:t>future analyses of the heat market</w:t>
      </w:r>
      <w:r>
        <w:rPr>
          <w:rFonts w:cs="Times New Roman"/>
        </w:rPr>
        <w:t xml:space="preserve">, the weighting strategies utilized in the study could be improved. The current strategies of assigning county weights based on housing units (residential), establishments (manufacturing), and farms (agricultural) have an inherent assumption that each unit within the county uses the same amount of heat. We know this to be an overly simplified assumption. However, these metrics do provide an intuitive and transparent </w:t>
      </w:r>
      <w:r>
        <w:rPr>
          <w:rFonts w:cs="Times New Roman"/>
        </w:rPr>
        <w:lastRenderedPageBreak/>
        <w:t xml:space="preserve">way to proceed with the analysis. A more rigorous assessment would involve finding the most statistically significant attributes of a residence or manufacturing/agricultural facility that determine the amount of heat usage, such as the tenancy status (rented/owned) or construction year for the residential analysis and </w:t>
      </w:r>
      <w:r w:rsidR="00D86C8C">
        <w:rPr>
          <w:rFonts w:cs="Times New Roman"/>
        </w:rPr>
        <w:t>emissions totals (</w:t>
      </w:r>
      <w:r w:rsidR="00417523">
        <w:rPr>
          <w:rFonts w:cs="Times New Roman"/>
        </w:rPr>
        <w:t xml:space="preserve">e.g., </w:t>
      </w:r>
      <w:r w:rsidR="00D86C8C">
        <w:rPr>
          <w:rFonts w:cs="Times New Roman"/>
        </w:rPr>
        <w:t xml:space="preserve">of </w:t>
      </w:r>
      <w:r w:rsidR="00F317C3">
        <w:rPr>
          <w:rFonts w:cs="Times New Roman"/>
        </w:rPr>
        <w:t>carbon dioxide</w:t>
      </w:r>
      <w:r w:rsidR="00D86C8C">
        <w:rPr>
          <w:rFonts w:cs="Times New Roman"/>
        </w:rPr>
        <w:t xml:space="preserve">) </w:t>
      </w:r>
      <w:r>
        <w:rPr>
          <w:rFonts w:cs="Times New Roman"/>
        </w:rPr>
        <w:t>or outputs (by dollar or product) for the manufacturing/agricultural analysis. These factors could be decided using statistical methods, such as regression analysis</w:t>
      </w:r>
      <w:r w:rsidR="00417523">
        <w:rPr>
          <w:rFonts w:cs="Times New Roman"/>
        </w:rPr>
        <w:t xml:space="preserve">. </w:t>
      </w:r>
    </w:p>
    <w:p w14:paraId="38443605" w14:textId="77777777" w:rsidR="00AF3531" w:rsidRDefault="00AF3531" w:rsidP="00AF3531">
      <w:pPr>
        <w:rPr>
          <w:rFonts w:cs="Times New Roman"/>
        </w:rPr>
      </w:pPr>
    </w:p>
    <w:p w14:paraId="1A9B337B" w14:textId="34E565D8" w:rsidR="00486F03" w:rsidRDefault="00486F03" w:rsidP="00AF3531">
      <w:pPr>
        <w:rPr>
          <w:rFonts w:cs="Times New Roman"/>
        </w:rPr>
      </w:pPr>
      <w:r>
        <w:rPr>
          <w:rFonts w:cs="Times New Roman"/>
        </w:rPr>
        <w:t>In the manufacturing sector</w:t>
      </w:r>
      <w:r w:rsidR="00AF3531">
        <w:rPr>
          <w:rFonts w:cs="Times New Roman"/>
        </w:rPr>
        <w:t xml:space="preserve">, a distinct lack of data rendered the analysis difficult. Future studies that expand on this work would benefit from increased coverage of manufacturing industries that included data on both process heat temperatures within each NAICS category as well as the corresponding thermal demand. The combination of the publication by Brown et al. </w:t>
      </w:r>
      <w:r w:rsidR="00E60F58">
        <w:rPr>
          <w:rFonts w:cs="Times New Roman"/>
        </w:rPr>
        <w:t xml:space="preserve">(1985) </w:t>
      </w:r>
      <w:r w:rsidR="00AF3531">
        <w:rPr>
          <w:rFonts w:cs="Times New Roman"/>
        </w:rPr>
        <w:t>with the MECS dataset resulted in an analysis that included only 1</w:t>
      </w:r>
      <w:r w:rsidR="00F76A93">
        <w:rPr>
          <w:rFonts w:cs="Times New Roman"/>
        </w:rPr>
        <w:t>4</w:t>
      </w:r>
      <w:r w:rsidR="00AF3531">
        <w:rPr>
          <w:rFonts w:cs="Times New Roman"/>
        </w:rPr>
        <w:t xml:space="preserve"> industries at the 6-digit NAICS code level. </w:t>
      </w:r>
      <w:r>
        <w:rPr>
          <w:rFonts w:cs="Times New Roman"/>
        </w:rPr>
        <w:t>Additionally, the Brown</w:t>
      </w:r>
      <w:r w:rsidR="00F317C3">
        <w:rPr>
          <w:rFonts w:cs="Times New Roman"/>
        </w:rPr>
        <w:t xml:space="preserve"> et al.</w:t>
      </w:r>
      <w:r>
        <w:rPr>
          <w:rFonts w:cs="Times New Roman"/>
        </w:rPr>
        <w:t xml:space="preserve"> work, while widely referenced in literature, is rather outdated</w:t>
      </w:r>
      <w:r w:rsidR="00F317C3">
        <w:rPr>
          <w:rFonts w:cs="Times New Roman"/>
        </w:rPr>
        <w:t>,</w:t>
      </w:r>
      <w:r>
        <w:rPr>
          <w:rFonts w:cs="Times New Roman"/>
        </w:rPr>
        <w:t xml:space="preserve"> and it could be posited that technological advances in the past 20 years have created more efficient industrial processes with different temperature needs.</w:t>
      </w:r>
    </w:p>
    <w:p w14:paraId="197D60BE" w14:textId="77777777" w:rsidR="00486F03" w:rsidRDefault="00486F03" w:rsidP="00AF3531">
      <w:pPr>
        <w:rPr>
          <w:rFonts w:cs="Times New Roman"/>
        </w:rPr>
      </w:pPr>
    </w:p>
    <w:p w14:paraId="2BD93A21" w14:textId="4F12A629" w:rsidR="00AF3531" w:rsidRDefault="00AF3531" w:rsidP="00AF3531">
      <w:pPr>
        <w:rPr>
          <w:rFonts w:cs="Times New Roman"/>
        </w:rPr>
      </w:pPr>
      <w:r>
        <w:rPr>
          <w:rFonts w:cs="Times New Roman"/>
        </w:rPr>
        <w:t>In the agricultural analysis, future analyses could focus on a bottom-up approach of each of the listed NAICS categories to determine improved estimates of heat consumption. A similar approach was taken in this study for the greenhouse subsector, where typical consumption values were calculated based on individual facilities.</w:t>
      </w:r>
    </w:p>
    <w:p w14:paraId="4797D56F" w14:textId="77777777" w:rsidR="00AF3531" w:rsidRDefault="00AF3531" w:rsidP="00AF3531">
      <w:pPr>
        <w:rPr>
          <w:rFonts w:cs="Times New Roman"/>
        </w:rPr>
      </w:pPr>
    </w:p>
    <w:p w14:paraId="6CA8A39D" w14:textId="618CEAF0" w:rsidR="00AF3531" w:rsidRDefault="00AF3531" w:rsidP="00664F68">
      <w:pPr>
        <w:rPr>
          <w:rFonts w:cs="Times New Roman"/>
        </w:rPr>
      </w:pPr>
      <w:r>
        <w:rPr>
          <w:rFonts w:cs="Times New Roman"/>
        </w:rPr>
        <w:t xml:space="preserve">Finally, much more work could be completed in the broader industrial sector, as the current analysis only examines the </w:t>
      </w:r>
      <w:r w:rsidRPr="00511B35">
        <w:rPr>
          <w:rFonts w:cs="Times New Roman"/>
        </w:rPr>
        <w:t>manufacturing and agricultural subsectors</w:t>
      </w:r>
      <w:r>
        <w:rPr>
          <w:rFonts w:cs="Times New Roman"/>
        </w:rPr>
        <w:t xml:space="preserve">. Other subsectors not considered in the current analysis include the mining, oil </w:t>
      </w:r>
      <w:r w:rsidR="00F317C3">
        <w:rPr>
          <w:rFonts w:cs="Times New Roman"/>
        </w:rPr>
        <w:t xml:space="preserve">and </w:t>
      </w:r>
      <w:r>
        <w:rPr>
          <w:rFonts w:cs="Times New Roman"/>
        </w:rPr>
        <w:t>gas, and construction industries. While this is due primarily to the available data, further analysis could work to integrate other data sources to include more of the industrial sector.</w:t>
      </w:r>
    </w:p>
    <w:p w14:paraId="751F01E9" w14:textId="77777777" w:rsidR="00E60F58" w:rsidRDefault="00E60F58" w:rsidP="00664F68">
      <w:pPr>
        <w:rPr>
          <w:rFonts w:cs="Times New Roman"/>
        </w:rPr>
      </w:pPr>
    </w:p>
    <w:p w14:paraId="2E4F79A3" w14:textId="4D55C327" w:rsidR="00E60F58" w:rsidRPr="00165DE6" w:rsidRDefault="00E60F58" w:rsidP="00E60F58">
      <w:pPr>
        <w:rPr>
          <w:rFonts w:cs="Times New Roman"/>
        </w:rPr>
      </w:pPr>
      <w:r>
        <w:rPr>
          <w:rFonts w:cs="Times New Roman"/>
        </w:rPr>
        <w:t>To our knowledge, t</w:t>
      </w:r>
      <w:r w:rsidRPr="00165DE6">
        <w:rPr>
          <w:rFonts w:cs="Times New Roman"/>
        </w:rPr>
        <w:t xml:space="preserve">his </w:t>
      </w:r>
      <w:r>
        <w:rPr>
          <w:rFonts w:cs="Times New Roman"/>
        </w:rPr>
        <w:t>assessment</w:t>
      </w:r>
      <w:r w:rsidRPr="00165DE6">
        <w:rPr>
          <w:rFonts w:cs="Times New Roman"/>
        </w:rPr>
        <w:t xml:space="preserve"> of </w:t>
      </w:r>
      <w:r>
        <w:rPr>
          <w:rFonts w:cs="Times New Roman"/>
        </w:rPr>
        <w:t>locally</w:t>
      </w:r>
      <w:r w:rsidRPr="00165DE6">
        <w:rPr>
          <w:rFonts w:cs="Times New Roman"/>
        </w:rPr>
        <w:t xml:space="preserve"> </w:t>
      </w:r>
      <w:r>
        <w:rPr>
          <w:rFonts w:cs="Times New Roman"/>
        </w:rPr>
        <w:t>resolved</w:t>
      </w:r>
      <w:r w:rsidRPr="00165DE6">
        <w:rPr>
          <w:rFonts w:cs="Times New Roman"/>
        </w:rPr>
        <w:t xml:space="preserve"> heat demand in the U</w:t>
      </w:r>
      <w:r w:rsidR="00A31DC3">
        <w:rPr>
          <w:rFonts w:cs="Times New Roman"/>
        </w:rPr>
        <w:t xml:space="preserve">nited </w:t>
      </w:r>
      <w:r w:rsidRPr="00165DE6">
        <w:rPr>
          <w:rFonts w:cs="Times New Roman"/>
        </w:rPr>
        <w:t>S</w:t>
      </w:r>
      <w:r w:rsidR="00A31DC3">
        <w:rPr>
          <w:rFonts w:cs="Times New Roman"/>
        </w:rPr>
        <w:t>tates</w:t>
      </w:r>
      <w:r w:rsidRPr="00165DE6">
        <w:rPr>
          <w:rFonts w:cs="Times New Roman"/>
        </w:rPr>
        <w:t xml:space="preserve"> </w:t>
      </w:r>
      <w:r>
        <w:rPr>
          <w:rFonts w:cs="Times New Roman"/>
        </w:rPr>
        <w:t>represents</w:t>
      </w:r>
      <w:r w:rsidRPr="00165DE6">
        <w:rPr>
          <w:rFonts w:cs="Times New Roman"/>
        </w:rPr>
        <w:t xml:space="preserve"> the first study of its kind. It </w:t>
      </w:r>
      <w:r>
        <w:rPr>
          <w:rFonts w:cs="Times New Roman"/>
        </w:rPr>
        <w:t>has applications to a</w:t>
      </w:r>
      <w:r w:rsidRPr="00165DE6">
        <w:rPr>
          <w:rFonts w:cs="Times New Roman"/>
        </w:rPr>
        <w:t xml:space="preserve"> wide variety of </w:t>
      </w:r>
      <w:r>
        <w:rPr>
          <w:rFonts w:cs="Times New Roman"/>
        </w:rPr>
        <w:t>technologies and domains beyond geothermal, including building technologies, industrial processes, and various distributed renewable energy thermal resources (e.g., biomass, solar)</w:t>
      </w:r>
      <w:r w:rsidRPr="00165DE6">
        <w:rPr>
          <w:rFonts w:cs="Times New Roman"/>
        </w:rPr>
        <w:t xml:space="preserve">. </w:t>
      </w:r>
      <w:r>
        <w:rPr>
          <w:rFonts w:cs="Times New Roman"/>
        </w:rPr>
        <w:t xml:space="preserve">The county-level and sector-specific heat </w:t>
      </w:r>
      <w:r w:rsidRPr="00165DE6">
        <w:rPr>
          <w:rFonts w:cs="Times New Roman"/>
        </w:rPr>
        <w:t xml:space="preserve">demand totals </w:t>
      </w:r>
      <w:r>
        <w:rPr>
          <w:rFonts w:cs="Times New Roman"/>
        </w:rPr>
        <w:t xml:space="preserve">developed in this study contribute to </w:t>
      </w:r>
      <w:r w:rsidRPr="00165DE6">
        <w:rPr>
          <w:rFonts w:cs="Times New Roman"/>
        </w:rPr>
        <w:t xml:space="preserve">U.S. </w:t>
      </w:r>
      <w:r>
        <w:rPr>
          <w:rFonts w:cs="Times New Roman"/>
        </w:rPr>
        <w:t>research</w:t>
      </w:r>
      <w:r w:rsidRPr="00165DE6">
        <w:rPr>
          <w:rFonts w:cs="Times New Roman"/>
        </w:rPr>
        <w:t xml:space="preserve"> in </w:t>
      </w:r>
      <w:r>
        <w:rPr>
          <w:rFonts w:cs="Times New Roman"/>
        </w:rPr>
        <w:t xml:space="preserve">renewable heat energy </w:t>
      </w:r>
      <w:r w:rsidRPr="00165DE6">
        <w:rPr>
          <w:rFonts w:cs="Times New Roman"/>
        </w:rPr>
        <w:t xml:space="preserve">and </w:t>
      </w:r>
      <w:r>
        <w:rPr>
          <w:rFonts w:cs="Times New Roman"/>
        </w:rPr>
        <w:t xml:space="preserve">work toward facilitation of </w:t>
      </w:r>
      <w:r w:rsidRPr="00165DE6">
        <w:rPr>
          <w:rFonts w:cs="Times New Roman"/>
        </w:rPr>
        <w:t xml:space="preserve">a similar type of market transformation for the heat market </w:t>
      </w:r>
      <w:r>
        <w:rPr>
          <w:rFonts w:cs="Times New Roman"/>
        </w:rPr>
        <w:t>that</w:t>
      </w:r>
      <w:r w:rsidRPr="00165DE6">
        <w:rPr>
          <w:rFonts w:cs="Times New Roman"/>
        </w:rPr>
        <w:t xml:space="preserve"> the electricity sector has done with great success for years</w:t>
      </w:r>
      <w:r w:rsidR="00417523">
        <w:rPr>
          <w:rFonts w:cs="Times New Roman"/>
        </w:rPr>
        <w:t xml:space="preserve">. </w:t>
      </w:r>
    </w:p>
    <w:p w14:paraId="1C99B240" w14:textId="77777777" w:rsidR="00AF3531" w:rsidRDefault="00AF3531" w:rsidP="00664F68">
      <w:pPr>
        <w:rPr>
          <w:rFonts w:cs="Times New Roman"/>
          <w:b/>
          <w:sz w:val="28"/>
        </w:rPr>
      </w:pPr>
    </w:p>
    <w:p w14:paraId="78853652" w14:textId="14A30700" w:rsidR="001D1F85" w:rsidRDefault="001D1F85" w:rsidP="00664F68">
      <w:pPr>
        <w:rPr>
          <w:rFonts w:cs="Times New Roman"/>
          <w:b/>
          <w:sz w:val="28"/>
        </w:rPr>
      </w:pPr>
      <w:r>
        <w:rPr>
          <w:rFonts w:cs="Times New Roman"/>
          <w:b/>
          <w:sz w:val="28"/>
        </w:rPr>
        <w:t>Acknowledgements</w:t>
      </w:r>
    </w:p>
    <w:p w14:paraId="7E715BC6" w14:textId="612871A2" w:rsidR="00056FDA" w:rsidRPr="00A15D31" w:rsidRDefault="00056FDA" w:rsidP="00A15D31">
      <w:pPr>
        <w:pStyle w:val="NormalWeb"/>
        <w:spacing w:before="0" w:beforeAutospacing="0" w:after="0" w:afterAutospacing="0"/>
        <w:rPr>
          <w:rFonts w:ascii="Times New Roman" w:hAnsi="Times New Roman"/>
          <w:sz w:val="24"/>
          <w:szCs w:val="24"/>
        </w:rPr>
      </w:pPr>
      <w:r w:rsidRPr="00A15D31">
        <w:rPr>
          <w:rFonts w:ascii="Times New Roman" w:eastAsia="Times New Roman" w:hAnsi="Times New Roman"/>
          <w:iCs/>
          <w:color w:val="000000" w:themeColor="text1"/>
          <w:sz w:val="24"/>
          <w:szCs w:val="24"/>
        </w:rPr>
        <w:t>This work was supported by the U.S. Department of Energy, Office of Energy Efficiency and Renewable Energy (EERE), Geothermal Technologies Office (GTO) under Contract No. DE-AC36-08-GO28308 with the National Renewable Energy Laboratory</w:t>
      </w:r>
      <w:r w:rsidR="00417523">
        <w:rPr>
          <w:rFonts w:ascii="Times New Roman" w:eastAsia="Times New Roman" w:hAnsi="Times New Roman"/>
          <w:iCs/>
          <w:color w:val="000000" w:themeColor="text1"/>
          <w:sz w:val="24"/>
          <w:szCs w:val="24"/>
        </w:rPr>
        <w:t xml:space="preserve">. </w:t>
      </w:r>
      <w:r w:rsidRPr="00A15D31">
        <w:rPr>
          <w:rFonts w:ascii="Times New Roman" w:hAnsi="Times New Roman"/>
          <w:sz w:val="24"/>
          <w:szCs w:val="24"/>
        </w:rPr>
        <w:t>The authors wish to thank the NREL review team, including</w:t>
      </w:r>
      <w:r w:rsidR="00D47062">
        <w:rPr>
          <w:rFonts w:ascii="Times New Roman" w:hAnsi="Times New Roman"/>
          <w:sz w:val="24"/>
          <w:szCs w:val="24"/>
        </w:rPr>
        <w:t xml:space="preserve"> Koenraad Beckers,</w:t>
      </w:r>
      <w:r w:rsidRPr="00A15D31">
        <w:rPr>
          <w:rFonts w:ascii="Times New Roman" w:hAnsi="Times New Roman"/>
          <w:sz w:val="24"/>
          <w:szCs w:val="24"/>
        </w:rPr>
        <w:t xml:space="preserve"> Kendra Palmer, Emily Newes, Maggie Mann, and David Mooney</w:t>
      </w:r>
      <w:r w:rsidR="00417523">
        <w:rPr>
          <w:rFonts w:ascii="Times New Roman" w:hAnsi="Times New Roman"/>
          <w:sz w:val="24"/>
          <w:szCs w:val="24"/>
        </w:rPr>
        <w:t xml:space="preserve">. </w:t>
      </w:r>
      <w:r w:rsidRPr="00A15D31">
        <w:rPr>
          <w:rFonts w:ascii="Times New Roman" w:hAnsi="Times New Roman"/>
          <w:sz w:val="24"/>
          <w:szCs w:val="24"/>
        </w:rPr>
        <w:t xml:space="preserve">Any remaining errors or omissions are the responsibility of the authors. </w:t>
      </w:r>
    </w:p>
    <w:p w14:paraId="1FD1040A" w14:textId="77777777" w:rsidR="00D64476" w:rsidRDefault="00D64476" w:rsidP="00A15D31">
      <w:pPr>
        <w:pStyle w:val="NormalWeb"/>
        <w:spacing w:before="0" w:beforeAutospacing="0" w:after="0" w:afterAutospacing="0"/>
        <w:rPr>
          <w:b/>
          <w:sz w:val="28"/>
        </w:rPr>
      </w:pPr>
    </w:p>
    <w:p w14:paraId="21852593" w14:textId="761DDFE9" w:rsidR="001D1F85" w:rsidRDefault="001D1F85" w:rsidP="00664F68">
      <w:pPr>
        <w:rPr>
          <w:rFonts w:cs="Times New Roman"/>
          <w:b/>
          <w:sz w:val="28"/>
        </w:rPr>
      </w:pPr>
      <w:r>
        <w:rPr>
          <w:rFonts w:cs="Times New Roman"/>
          <w:b/>
          <w:sz w:val="28"/>
        </w:rPr>
        <w:t xml:space="preserve">Acronyms </w:t>
      </w:r>
    </w:p>
    <w:p w14:paraId="3AF43B32" w14:textId="468FD04B" w:rsidR="002D3DBE" w:rsidRPr="004F3056" w:rsidRDefault="002D3DBE" w:rsidP="00664F68">
      <w:pPr>
        <w:rPr>
          <w:rFonts w:cs="Times New Roman"/>
          <w:sz w:val="22"/>
          <w:szCs w:val="22"/>
        </w:rPr>
      </w:pPr>
      <w:r w:rsidRPr="004F3056">
        <w:rPr>
          <w:rFonts w:cs="Times New Roman"/>
          <w:sz w:val="22"/>
          <w:szCs w:val="22"/>
        </w:rPr>
        <w:t>ACS</w:t>
      </w:r>
      <w:r w:rsidRPr="004F3056">
        <w:rPr>
          <w:rFonts w:cs="Times New Roman"/>
          <w:sz w:val="22"/>
          <w:szCs w:val="22"/>
        </w:rPr>
        <w:tab/>
      </w:r>
      <w:r w:rsidRPr="004F3056">
        <w:rPr>
          <w:rFonts w:cs="Times New Roman"/>
          <w:sz w:val="22"/>
          <w:szCs w:val="22"/>
        </w:rPr>
        <w:tab/>
        <w:t>American Community Survey</w:t>
      </w:r>
    </w:p>
    <w:p w14:paraId="1BAA1131" w14:textId="4386E5AA" w:rsidR="00114439" w:rsidRPr="004F3056" w:rsidRDefault="008F7D6F" w:rsidP="00664F68">
      <w:pPr>
        <w:rPr>
          <w:rFonts w:cs="Times New Roman"/>
          <w:sz w:val="22"/>
          <w:szCs w:val="22"/>
        </w:rPr>
      </w:pPr>
      <w:r>
        <w:rPr>
          <w:rFonts w:cs="Times New Roman"/>
          <w:sz w:val="22"/>
          <w:szCs w:val="22"/>
        </w:rPr>
        <w:t>Btu</w:t>
      </w:r>
      <w:r w:rsidR="00114439" w:rsidRPr="004F3056">
        <w:rPr>
          <w:rFonts w:cs="Times New Roman"/>
          <w:sz w:val="22"/>
          <w:szCs w:val="22"/>
        </w:rPr>
        <w:tab/>
      </w:r>
      <w:r w:rsidR="00114439" w:rsidRPr="004F3056">
        <w:rPr>
          <w:rFonts w:cs="Times New Roman"/>
          <w:sz w:val="22"/>
          <w:szCs w:val="22"/>
        </w:rPr>
        <w:tab/>
        <w:t xml:space="preserve">British </w:t>
      </w:r>
      <w:r w:rsidR="00F317C3">
        <w:rPr>
          <w:rFonts w:cs="Times New Roman"/>
          <w:sz w:val="22"/>
          <w:szCs w:val="22"/>
        </w:rPr>
        <w:t>t</w:t>
      </w:r>
      <w:r w:rsidR="00F317C3" w:rsidRPr="004F3056">
        <w:rPr>
          <w:rFonts w:cs="Times New Roman"/>
          <w:sz w:val="22"/>
          <w:szCs w:val="22"/>
        </w:rPr>
        <w:t xml:space="preserve">hermal </w:t>
      </w:r>
      <w:r w:rsidR="00F317C3">
        <w:rPr>
          <w:rFonts w:cs="Times New Roman"/>
          <w:sz w:val="22"/>
          <w:szCs w:val="22"/>
        </w:rPr>
        <w:t>u</w:t>
      </w:r>
      <w:r w:rsidR="00F317C3" w:rsidRPr="004F3056">
        <w:rPr>
          <w:rFonts w:cs="Times New Roman"/>
          <w:sz w:val="22"/>
          <w:szCs w:val="22"/>
        </w:rPr>
        <w:t xml:space="preserve">nits </w:t>
      </w:r>
      <w:r w:rsidR="00890E55" w:rsidRPr="004F3056">
        <w:rPr>
          <w:rFonts w:cs="Times New Roman"/>
          <w:sz w:val="22"/>
          <w:szCs w:val="22"/>
        </w:rPr>
        <w:t>(m</w:t>
      </w:r>
      <w:r>
        <w:rPr>
          <w:rFonts w:cs="Times New Roman"/>
          <w:sz w:val="22"/>
          <w:szCs w:val="22"/>
        </w:rPr>
        <w:t>Btu</w:t>
      </w:r>
      <w:r w:rsidR="00890E55" w:rsidRPr="004F3056">
        <w:rPr>
          <w:rFonts w:cs="Times New Roman"/>
          <w:sz w:val="22"/>
          <w:szCs w:val="22"/>
        </w:rPr>
        <w:t xml:space="preserve"> = 1,000 </w:t>
      </w:r>
      <w:r>
        <w:rPr>
          <w:rFonts w:cs="Times New Roman"/>
          <w:sz w:val="22"/>
          <w:szCs w:val="22"/>
        </w:rPr>
        <w:t>Btu</w:t>
      </w:r>
      <w:r w:rsidR="00890E55" w:rsidRPr="004F3056">
        <w:rPr>
          <w:rFonts w:cs="Times New Roman"/>
          <w:sz w:val="22"/>
          <w:szCs w:val="22"/>
        </w:rPr>
        <w:t xml:space="preserve">; quad = 1 quadrillion </w:t>
      </w:r>
      <w:r>
        <w:rPr>
          <w:rFonts w:cs="Times New Roman"/>
          <w:sz w:val="22"/>
          <w:szCs w:val="22"/>
        </w:rPr>
        <w:t>Btu</w:t>
      </w:r>
      <w:r w:rsidR="00890E55" w:rsidRPr="004F3056">
        <w:rPr>
          <w:rFonts w:cs="Times New Roman"/>
          <w:sz w:val="22"/>
          <w:szCs w:val="22"/>
        </w:rPr>
        <w:t>)</w:t>
      </w:r>
    </w:p>
    <w:p w14:paraId="2EBE7A6B" w14:textId="16FD1B99" w:rsidR="00AA34B1" w:rsidRPr="004F3056" w:rsidRDefault="00AA34B1" w:rsidP="00664F68">
      <w:pPr>
        <w:rPr>
          <w:rFonts w:cs="Times New Roman"/>
          <w:sz w:val="22"/>
          <w:szCs w:val="22"/>
        </w:rPr>
      </w:pPr>
      <w:r w:rsidRPr="004F3056">
        <w:rPr>
          <w:rFonts w:cs="Times New Roman"/>
          <w:sz w:val="22"/>
          <w:szCs w:val="22"/>
        </w:rPr>
        <w:lastRenderedPageBreak/>
        <w:t>CBECS</w:t>
      </w:r>
      <w:r w:rsidRPr="004F3056">
        <w:rPr>
          <w:rFonts w:cs="Times New Roman"/>
          <w:sz w:val="22"/>
          <w:szCs w:val="22"/>
        </w:rPr>
        <w:tab/>
      </w:r>
      <w:r w:rsidR="004F3056">
        <w:rPr>
          <w:rFonts w:cs="Times New Roman"/>
          <w:sz w:val="22"/>
          <w:szCs w:val="22"/>
        </w:rPr>
        <w:tab/>
      </w:r>
      <w:r w:rsidRPr="004F3056">
        <w:rPr>
          <w:rFonts w:cs="Times New Roman"/>
          <w:sz w:val="22"/>
          <w:szCs w:val="22"/>
        </w:rPr>
        <w:t>Commercial Buildings Energy Consumption Survey</w:t>
      </w:r>
    </w:p>
    <w:p w14:paraId="219BFCD7" w14:textId="783F7CF9" w:rsidR="002D3DBE" w:rsidRPr="004F3056" w:rsidRDefault="002D3DBE" w:rsidP="00664F68">
      <w:pPr>
        <w:rPr>
          <w:rFonts w:cs="Times New Roman"/>
          <w:sz w:val="22"/>
          <w:szCs w:val="22"/>
        </w:rPr>
      </w:pPr>
      <w:r w:rsidRPr="004F3056">
        <w:rPr>
          <w:rFonts w:cs="Times New Roman"/>
          <w:sz w:val="22"/>
          <w:szCs w:val="22"/>
        </w:rPr>
        <w:t>CBP</w:t>
      </w:r>
      <w:r w:rsidRPr="004F3056">
        <w:rPr>
          <w:rFonts w:cs="Times New Roman"/>
          <w:sz w:val="22"/>
          <w:szCs w:val="22"/>
        </w:rPr>
        <w:tab/>
      </w:r>
      <w:r w:rsidRPr="004F3056">
        <w:rPr>
          <w:rFonts w:cs="Times New Roman"/>
          <w:sz w:val="22"/>
          <w:szCs w:val="22"/>
        </w:rPr>
        <w:tab/>
        <w:t>County Business Patterns</w:t>
      </w:r>
    </w:p>
    <w:p w14:paraId="47061AF7" w14:textId="50454D3F" w:rsidR="00F716AB" w:rsidRPr="004F3056" w:rsidRDefault="00F716AB" w:rsidP="00664F68">
      <w:pPr>
        <w:rPr>
          <w:rFonts w:cs="Times New Roman"/>
          <w:sz w:val="22"/>
          <w:szCs w:val="22"/>
        </w:rPr>
      </w:pPr>
      <w:r w:rsidRPr="004F3056">
        <w:rPr>
          <w:rFonts w:cs="Times New Roman"/>
          <w:sz w:val="22"/>
          <w:szCs w:val="22"/>
        </w:rPr>
        <w:t>CDMS</w:t>
      </w:r>
      <w:r w:rsidRPr="004F3056">
        <w:rPr>
          <w:rFonts w:cs="Times New Roman"/>
          <w:sz w:val="22"/>
          <w:szCs w:val="22"/>
        </w:rPr>
        <w:tab/>
      </w:r>
      <w:r w:rsidRPr="004F3056">
        <w:rPr>
          <w:rFonts w:cs="Times New Roman"/>
          <w:sz w:val="22"/>
          <w:szCs w:val="22"/>
        </w:rPr>
        <w:tab/>
        <w:t>Comprehensive Data Management System</w:t>
      </w:r>
    </w:p>
    <w:p w14:paraId="1B2F533E" w14:textId="7C0DF4F0" w:rsidR="00114439" w:rsidRPr="004F3056" w:rsidRDefault="00114439" w:rsidP="00664F68">
      <w:pPr>
        <w:rPr>
          <w:rFonts w:cs="Times New Roman"/>
          <w:sz w:val="22"/>
          <w:szCs w:val="22"/>
        </w:rPr>
      </w:pPr>
      <w:r w:rsidRPr="004F3056">
        <w:rPr>
          <w:rFonts w:cs="Times New Roman"/>
          <w:sz w:val="22"/>
          <w:szCs w:val="22"/>
        </w:rPr>
        <w:t>DOE</w:t>
      </w:r>
      <w:r w:rsidRPr="004F3056">
        <w:rPr>
          <w:rFonts w:cs="Times New Roman"/>
          <w:sz w:val="22"/>
          <w:szCs w:val="22"/>
        </w:rPr>
        <w:tab/>
      </w:r>
      <w:r w:rsidRPr="004F3056">
        <w:rPr>
          <w:rFonts w:cs="Times New Roman"/>
          <w:sz w:val="22"/>
          <w:szCs w:val="22"/>
        </w:rPr>
        <w:tab/>
      </w:r>
      <w:r w:rsidR="00F317C3">
        <w:rPr>
          <w:rFonts w:cs="Times New Roman"/>
          <w:sz w:val="22"/>
          <w:szCs w:val="22"/>
        </w:rPr>
        <w:t xml:space="preserve">U.S. </w:t>
      </w:r>
      <w:r w:rsidRPr="004F3056">
        <w:rPr>
          <w:rFonts w:cs="Times New Roman"/>
          <w:sz w:val="22"/>
          <w:szCs w:val="22"/>
        </w:rPr>
        <w:t>Department of Energy</w:t>
      </w:r>
    </w:p>
    <w:p w14:paraId="6C8D54F5" w14:textId="0A945161" w:rsidR="00114439" w:rsidRPr="004F3056" w:rsidRDefault="00114439" w:rsidP="00664F68">
      <w:pPr>
        <w:rPr>
          <w:rFonts w:cs="Times New Roman"/>
          <w:sz w:val="22"/>
          <w:szCs w:val="22"/>
        </w:rPr>
      </w:pPr>
      <w:r w:rsidRPr="004F3056">
        <w:rPr>
          <w:rFonts w:cs="Times New Roman"/>
          <w:sz w:val="22"/>
          <w:szCs w:val="22"/>
        </w:rPr>
        <w:t>DU</w:t>
      </w:r>
      <w:r w:rsidRPr="004F3056">
        <w:rPr>
          <w:rFonts w:cs="Times New Roman"/>
          <w:sz w:val="22"/>
          <w:szCs w:val="22"/>
        </w:rPr>
        <w:tab/>
      </w:r>
      <w:r w:rsidRPr="004F3056">
        <w:rPr>
          <w:rFonts w:cs="Times New Roman"/>
          <w:sz w:val="22"/>
          <w:szCs w:val="22"/>
        </w:rPr>
        <w:tab/>
      </w:r>
      <w:r w:rsidR="00F317C3" w:rsidRPr="004F3056">
        <w:rPr>
          <w:rFonts w:cs="Times New Roman"/>
          <w:sz w:val="22"/>
          <w:szCs w:val="22"/>
        </w:rPr>
        <w:t>direct use</w:t>
      </w:r>
    </w:p>
    <w:p w14:paraId="55479C95" w14:textId="69E0B504" w:rsidR="00204686" w:rsidRPr="004F3056" w:rsidRDefault="00114439" w:rsidP="00664F68">
      <w:pPr>
        <w:rPr>
          <w:rFonts w:cs="Times New Roman"/>
          <w:sz w:val="22"/>
          <w:szCs w:val="22"/>
        </w:rPr>
      </w:pPr>
      <w:r w:rsidRPr="004F3056">
        <w:rPr>
          <w:rFonts w:cs="Times New Roman"/>
          <w:sz w:val="22"/>
          <w:szCs w:val="22"/>
        </w:rPr>
        <w:t>EIA</w:t>
      </w:r>
      <w:r w:rsidRPr="004F3056">
        <w:rPr>
          <w:rFonts w:cs="Times New Roman"/>
          <w:sz w:val="22"/>
          <w:szCs w:val="22"/>
        </w:rPr>
        <w:tab/>
      </w:r>
      <w:r w:rsidRPr="004F3056">
        <w:rPr>
          <w:rFonts w:cs="Times New Roman"/>
          <w:sz w:val="22"/>
          <w:szCs w:val="22"/>
        </w:rPr>
        <w:tab/>
        <w:t>Energy Information Administration</w:t>
      </w:r>
    </w:p>
    <w:p w14:paraId="434F7F45" w14:textId="5BD25554" w:rsidR="002D3DBE" w:rsidRPr="004F3056" w:rsidRDefault="002D3DBE" w:rsidP="00664F68">
      <w:pPr>
        <w:rPr>
          <w:rFonts w:cs="Times New Roman"/>
          <w:sz w:val="22"/>
          <w:szCs w:val="22"/>
        </w:rPr>
      </w:pPr>
      <w:r w:rsidRPr="004F3056">
        <w:rPr>
          <w:rFonts w:cs="Times New Roman"/>
          <w:sz w:val="22"/>
          <w:szCs w:val="22"/>
        </w:rPr>
        <w:t>FEMA</w:t>
      </w:r>
      <w:r w:rsidRPr="004F3056">
        <w:rPr>
          <w:rFonts w:cs="Times New Roman"/>
          <w:sz w:val="22"/>
          <w:szCs w:val="22"/>
        </w:rPr>
        <w:tab/>
      </w:r>
      <w:r w:rsidRPr="004F3056">
        <w:rPr>
          <w:rFonts w:cs="Times New Roman"/>
          <w:sz w:val="22"/>
          <w:szCs w:val="22"/>
        </w:rPr>
        <w:tab/>
        <w:t>Federal Emergency Management Agency</w:t>
      </w:r>
    </w:p>
    <w:p w14:paraId="57FB62C0" w14:textId="62083517" w:rsidR="00365749" w:rsidRPr="004F3056" w:rsidRDefault="00365749" w:rsidP="00664F68">
      <w:pPr>
        <w:rPr>
          <w:rFonts w:cs="Times New Roman"/>
          <w:sz w:val="22"/>
          <w:szCs w:val="22"/>
        </w:rPr>
      </w:pPr>
      <w:r w:rsidRPr="004F3056">
        <w:rPr>
          <w:rFonts w:cs="Times New Roman"/>
          <w:sz w:val="22"/>
          <w:szCs w:val="22"/>
        </w:rPr>
        <w:t>GDR</w:t>
      </w:r>
      <w:r w:rsidRPr="004F3056">
        <w:rPr>
          <w:rFonts w:cs="Times New Roman"/>
          <w:sz w:val="22"/>
          <w:szCs w:val="22"/>
        </w:rPr>
        <w:tab/>
      </w:r>
      <w:r w:rsidRPr="004F3056">
        <w:rPr>
          <w:rFonts w:cs="Times New Roman"/>
          <w:sz w:val="22"/>
          <w:szCs w:val="22"/>
        </w:rPr>
        <w:tab/>
        <w:t>Geothermal Data Repository</w:t>
      </w:r>
    </w:p>
    <w:p w14:paraId="6ACD87D4" w14:textId="7939060D" w:rsidR="00114439" w:rsidRPr="004F3056" w:rsidRDefault="00114439" w:rsidP="00664F68">
      <w:pPr>
        <w:rPr>
          <w:rFonts w:cs="Times New Roman"/>
          <w:sz w:val="22"/>
          <w:szCs w:val="22"/>
        </w:rPr>
      </w:pPr>
      <w:r w:rsidRPr="004F3056">
        <w:rPr>
          <w:rFonts w:cs="Times New Roman"/>
          <w:sz w:val="22"/>
          <w:szCs w:val="22"/>
        </w:rPr>
        <w:t>GVS</w:t>
      </w:r>
      <w:r w:rsidRPr="004F3056">
        <w:rPr>
          <w:rFonts w:cs="Times New Roman"/>
          <w:sz w:val="22"/>
          <w:szCs w:val="22"/>
        </w:rPr>
        <w:tab/>
      </w:r>
      <w:r w:rsidRPr="004F3056">
        <w:rPr>
          <w:rFonts w:cs="Times New Roman"/>
          <w:sz w:val="22"/>
          <w:szCs w:val="22"/>
        </w:rPr>
        <w:tab/>
        <w:t>Geothermal Vision Study (GeoVision)</w:t>
      </w:r>
    </w:p>
    <w:p w14:paraId="76CFBD11" w14:textId="1A9528B8" w:rsidR="00C929B3" w:rsidRPr="004F3056" w:rsidRDefault="00C929B3" w:rsidP="00664F68">
      <w:pPr>
        <w:rPr>
          <w:rFonts w:cs="Times New Roman"/>
          <w:sz w:val="22"/>
          <w:szCs w:val="22"/>
        </w:rPr>
      </w:pPr>
      <w:r w:rsidRPr="004F3056">
        <w:rPr>
          <w:rFonts w:cs="Times New Roman"/>
          <w:sz w:val="22"/>
          <w:szCs w:val="22"/>
        </w:rPr>
        <w:t>MECS</w:t>
      </w:r>
      <w:r w:rsidRPr="004F3056">
        <w:rPr>
          <w:rFonts w:cs="Times New Roman"/>
          <w:sz w:val="22"/>
          <w:szCs w:val="22"/>
        </w:rPr>
        <w:tab/>
      </w:r>
      <w:r w:rsidRPr="004F3056">
        <w:rPr>
          <w:rFonts w:cs="Times New Roman"/>
          <w:sz w:val="22"/>
          <w:szCs w:val="22"/>
        </w:rPr>
        <w:tab/>
        <w:t>Manufacturing Energy Consumption Survey</w:t>
      </w:r>
    </w:p>
    <w:p w14:paraId="4B90879D" w14:textId="071881F8" w:rsidR="0021442A" w:rsidRPr="004F3056" w:rsidRDefault="0021442A" w:rsidP="00664F68">
      <w:pPr>
        <w:rPr>
          <w:rFonts w:cs="Times New Roman"/>
          <w:sz w:val="22"/>
          <w:szCs w:val="22"/>
        </w:rPr>
      </w:pPr>
      <w:r w:rsidRPr="004F3056">
        <w:rPr>
          <w:rFonts w:cs="Times New Roman"/>
          <w:sz w:val="22"/>
          <w:szCs w:val="22"/>
        </w:rPr>
        <w:t>NAICS</w:t>
      </w:r>
      <w:r w:rsidRPr="004F3056">
        <w:rPr>
          <w:rFonts w:cs="Times New Roman"/>
          <w:sz w:val="22"/>
          <w:szCs w:val="22"/>
        </w:rPr>
        <w:tab/>
      </w:r>
      <w:r w:rsidR="004F3056">
        <w:rPr>
          <w:rFonts w:cs="Times New Roman"/>
          <w:sz w:val="22"/>
          <w:szCs w:val="22"/>
        </w:rPr>
        <w:tab/>
      </w:r>
      <w:r w:rsidRPr="004F3056">
        <w:rPr>
          <w:rFonts w:cs="Times New Roman"/>
          <w:sz w:val="22"/>
          <w:szCs w:val="22"/>
        </w:rPr>
        <w:t>North American Industry Classification System</w:t>
      </w:r>
    </w:p>
    <w:p w14:paraId="2F2FA238" w14:textId="516F0021" w:rsidR="001B3DCA" w:rsidRPr="004F3056" w:rsidRDefault="001B3DCA" w:rsidP="00664F68">
      <w:pPr>
        <w:rPr>
          <w:rFonts w:cs="Times New Roman"/>
          <w:sz w:val="22"/>
          <w:szCs w:val="22"/>
        </w:rPr>
      </w:pPr>
      <w:r>
        <w:rPr>
          <w:rFonts w:cs="Times New Roman"/>
          <w:sz w:val="22"/>
          <w:szCs w:val="22"/>
        </w:rPr>
        <w:t>NREL</w:t>
      </w:r>
      <w:r>
        <w:rPr>
          <w:rFonts w:cs="Times New Roman"/>
          <w:sz w:val="22"/>
          <w:szCs w:val="22"/>
        </w:rPr>
        <w:tab/>
      </w:r>
      <w:r>
        <w:rPr>
          <w:rFonts w:cs="Times New Roman"/>
          <w:sz w:val="22"/>
          <w:szCs w:val="22"/>
        </w:rPr>
        <w:tab/>
        <w:t>National Renewable Energy Laboratory</w:t>
      </w:r>
    </w:p>
    <w:p w14:paraId="1B37C540" w14:textId="496989DE" w:rsidR="00E510E7" w:rsidRPr="004F3056" w:rsidRDefault="00E510E7" w:rsidP="00664F68">
      <w:pPr>
        <w:rPr>
          <w:rFonts w:cs="Times New Roman"/>
          <w:sz w:val="22"/>
          <w:szCs w:val="22"/>
        </w:rPr>
      </w:pPr>
      <w:r w:rsidRPr="004F3056">
        <w:rPr>
          <w:rFonts w:cs="Times New Roman"/>
          <w:sz w:val="22"/>
          <w:szCs w:val="22"/>
        </w:rPr>
        <w:t>PBA</w:t>
      </w:r>
      <w:r w:rsidRPr="004F3056">
        <w:rPr>
          <w:rFonts w:cs="Times New Roman"/>
          <w:sz w:val="22"/>
          <w:szCs w:val="22"/>
        </w:rPr>
        <w:tab/>
      </w:r>
      <w:r w:rsidRPr="004F3056">
        <w:rPr>
          <w:rFonts w:cs="Times New Roman"/>
          <w:sz w:val="22"/>
          <w:szCs w:val="22"/>
        </w:rPr>
        <w:tab/>
        <w:t>Principal Building Activity</w:t>
      </w:r>
    </w:p>
    <w:p w14:paraId="4596E8B0" w14:textId="70DAF2FF" w:rsidR="00E510E7" w:rsidRPr="004F3056" w:rsidRDefault="00E510E7" w:rsidP="00664F68">
      <w:pPr>
        <w:rPr>
          <w:rFonts w:cs="Times New Roman"/>
          <w:sz w:val="22"/>
          <w:szCs w:val="22"/>
        </w:rPr>
      </w:pPr>
      <w:r w:rsidRPr="004F3056">
        <w:rPr>
          <w:rFonts w:cs="Times New Roman"/>
          <w:sz w:val="22"/>
          <w:szCs w:val="22"/>
        </w:rPr>
        <w:t>PBAPLUS</w:t>
      </w:r>
      <w:r w:rsidRPr="004F3056">
        <w:rPr>
          <w:rFonts w:cs="Times New Roman"/>
          <w:sz w:val="22"/>
          <w:szCs w:val="22"/>
        </w:rPr>
        <w:tab/>
        <w:t>Principal Building Activity PLUS (subcategories)</w:t>
      </w:r>
    </w:p>
    <w:p w14:paraId="6BB12FB5" w14:textId="5AA30499" w:rsidR="002D3DBE" w:rsidRPr="004F3056" w:rsidRDefault="002D3DBE" w:rsidP="00664F68">
      <w:pPr>
        <w:rPr>
          <w:rFonts w:cs="Times New Roman"/>
          <w:sz w:val="22"/>
          <w:szCs w:val="22"/>
        </w:rPr>
      </w:pPr>
      <w:r w:rsidRPr="004F3056">
        <w:rPr>
          <w:rFonts w:cs="Times New Roman"/>
          <w:sz w:val="22"/>
          <w:szCs w:val="22"/>
        </w:rPr>
        <w:t>RECS</w:t>
      </w:r>
      <w:r w:rsidRPr="004F3056">
        <w:rPr>
          <w:rFonts w:cs="Times New Roman"/>
          <w:sz w:val="22"/>
          <w:szCs w:val="22"/>
        </w:rPr>
        <w:tab/>
      </w:r>
      <w:r w:rsidRPr="004F3056">
        <w:rPr>
          <w:rFonts w:cs="Times New Roman"/>
          <w:sz w:val="22"/>
          <w:szCs w:val="22"/>
        </w:rPr>
        <w:tab/>
        <w:t>Residential Energy Consumption Survey</w:t>
      </w:r>
    </w:p>
    <w:p w14:paraId="375F1F5B" w14:textId="29257670" w:rsidR="00E977A8" w:rsidRPr="004F3056" w:rsidRDefault="00815B8B" w:rsidP="00664F68">
      <w:pPr>
        <w:rPr>
          <w:rFonts w:cs="Times New Roman"/>
          <w:sz w:val="22"/>
          <w:szCs w:val="22"/>
        </w:rPr>
      </w:pPr>
      <w:r w:rsidRPr="004F3056">
        <w:rPr>
          <w:rFonts w:cs="Times New Roman"/>
          <w:sz w:val="22"/>
          <w:szCs w:val="22"/>
        </w:rPr>
        <w:t>RD-CR</w:t>
      </w:r>
      <w:r w:rsidRPr="004F3056">
        <w:rPr>
          <w:rFonts w:cs="Times New Roman"/>
          <w:sz w:val="22"/>
          <w:szCs w:val="22"/>
        </w:rPr>
        <w:tab/>
      </w:r>
      <w:r w:rsidR="004F3056">
        <w:rPr>
          <w:rFonts w:cs="Times New Roman"/>
          <w:sz w:val="22"/>
          <w:szCs w:val="22"/>
        </w:rPr>
        <w:tab/>
      </w:r>
      <w:r w:rsidR="00026D34">
        <w:rPr>
          <w:rFonts w:cs="Times New Roman"/>
          <w:sz w:val="22"/>
          <w:szCs w:val="22"/>
        </w:rPr>
        <w:t>r</w:t>
      </w:r>
      <w:r w:rsidR="00026D34" w:rsidRPr="004F3056">
        <w:rPr>
          <w:rFonts w:cs="Times New Roman"/>
          <w:sz w:val="22"/>
          <w:szCs w:val="22"/>
        </w:rPr>
        <w:t xml:space="preserve">eportable </w:t>
      </w:r>
      <w:r w:rsidRPr="004F3056">
        <w:rPr>
          <w:rFonts w:cs="Times New Roman"/>
          <w:sz w:val="22"/>
          <w:szCs w:val="22"/>
        </w:rPr>
        <w:t>domain-</w:t>
      </w:r>
      <w:r w:rsidR="00E977A8" w:rsidRPr="004F3056">
        <w:rPr>
          <w:rFonts w:cs="Times New Roman"/>
          <w:sz w:val="22"/>
          <w:szCs w:val="22"/>
        </w:rPr>
        <w:t>climate region cross-section</w:t>
      </w:r>
    </w:p>
    <w:p w14:paraId="15B37ADF" w14:textId="4404EB5C" w:rsidR="001B66D0" w:rsidRPr="004F3056" w:rsidRDefault="001B66D0" w:rsidP="00664F68">
      <w:pPr>
        <w:rPr>
          <w:rFonts w:cs="Times New Roman"/>
          <w:sz w:val="22"/>
          <w:szCs w:val="22"/>
        </w:rPr>
      </w:pPr>
      <w:r>
        <w:rPr>
          <w:rFonts w:cs="Times New Roman"/>
          <w:sz w:val="22"/>
          <w:szCs w:val="22"/>
        </w:rPr>
        <w:t>USDA</w:t>
      </w:r>
      <w:r>
        <w:rPr>
          <w:rFonts w:cs="Times New Roman"/>
          <w:sz w:val="22"/>
          <w:szCs w:val="22"/>
        </w:rPr>
        <w:tab/>
      </w:r>
      <w:r>
        <w:rPr>
          <w:rFonts w:cs="Times New Roman"/>
          <w:sz w:val="22"/>
          <w:szCs w:val="22"/>
        </w:rPr>
        <w:tab/>
        <w:t>United States Department of Agriculture</w:t>
      </w:r>
    </w:p>
    <w:p w14:paraId="353F788A" w14:textId="77777777" w:rsidR="00C0581B" w:rsidRPr="00C0581B" w:rsidRDefault="00C0581B" w:rsidP="00664F68">
      <w:pPr>
        <w:rPr>
          <w:rFonts w:cs="Times New Roman"/>
        </w:rPr>
      </w:pPr>
    </w:p>
    <w:p w14:paraId="2821BE47" w14:textId="1962192B" w:rsidR="00664F68" w:rsidRPr="00664F68" w:rsidRDefault="00664F68" w:rsidP="00664F68">
      <w:pPr>
        <w:rPr>
          <w:rFonts w:cs="Times New Roman"/>
        </w:rPr>
      </w:pPr>
      <w:r>
        <w:rPr>
          <w:rFonts w:cs="Times New Roman"/>
          <w:b/>
          <w:sz w:val="28"/>
        </w:rPr>
        <w:t>References</w:t>
      </w:r>
    </w:p>
    <w:p w14:paraId="164FBC72" w14:textId="3291DA06" w:rsidR="003D4577" w:rsidRDefault="003D4577" w:rsidP="00427C94">
      <w:pPr>
        <w:rPr>
          <w:rFonts w:cs="Times New Roman"/>
          <w:sz w:val="22"/>
          <w:szCs w:val="22"/>
        </w:rPr>
      </w:pPr>
      <w:r>
        <w:rPr>
          <w:rFonts w:cs="Times New Roman"/>
          <w:sz w:val="22"/>
          <w:szCs w:val="22"/>
        </w:rPr>
        <w:t xml:space="preserve">Brinker, J., 2012. “Aquaponics and Greenhouse Energy Efficiency.” </w:t>
      </w:r>
    </w:p>
    <w:p w14:paraId="412E6469" w14:textId="683B08BE" w:rsidR="003D4577" w:rsidRDefault="003C6770" w:rsidP="00487921">
      <w:pPr>
        <w:ind w:left="720"/>
        <w:rPr>
          <w:rFonts w:cs="Times New Roman"/>
          <w:sz w:val="22"/>
          <w:szCs w:val="22"/>
        </w:rPr>
      </w:pPr>
      <w:hyperlink r:id="rId37" w:history="1">
        <w:r w:rsidR="003D4577" w:rsidRPr="00973C0E">
          <w:rPr>
            <w:rStyle w:val="Hyperlink"/>
            <w:rFonts w:cs="Times New Roman"/>
            <w:sz w:val="22"/>
            <w:szCs w:val="22"/>
          </w:rPr>
          <w:t>http://www.actonenergy.com/portals/0/business/forms/aquaponics-handout.pdf</w:t>
        </w:r>
      </w:hyperlink>
      <w:r w:rsidR="00D473E0">
        <w:rPr>
          <w:rStyle w:val="Hyperlink"/>
          <w:rFonts w:cs="Times New Roman"/>
          <w:sz w:val="22"/>
          <w:szCs w:val="22"/>
        </w:rPr>
        <w:t xml:space="preserve"> (accessed April 27, 2016).</w:t>
      </w:r>
    </w:p>
    <w:p w14:paraId="5ED6C52B" w14:textId="3BF5912F" w:rsidR="00664F68" w:rsidRPr="00AE52E4" w:rsidRDefault="00664F68" w:rsidP="00664F68">
      <w:pPr>
        <w:rPr>
          <w:rFonts w:cs="Times New Roman"/>
          <w:sz w:val="22"/>
          <w:szCs w:val="22"/>
        </w:rPr>
      </w:pPr>
      <w:r w:rsidRPr="00AE52E4">
        <w:rPr>
          <w:rFonts w:cs="Times New Roman"/>
          <w:sz w:val="22"/>
          <w:szCs w:val="22"/>
        </w:rPr>
        <w:t>Brown, Harry, B. Hamel,</w:t>
      </w:r>
      <w:r w:rsidR="002E590F" w:rsidRPr="00AE52E4">
        <w:rPr>
          <w:rFonts w:cs="Times New Roman"/>
          <w:sz w:val="22"/>
          <w:szCs w:val="22"/>
        </w:rPr>
        <w:t xml:space="preserve"> and</w:t>
      </w:r>
      <w:r w:rsidRPr="00AE52E4">
        <w:rPr>
          <w:rFonts w:cs="Times New Roman"/>
          <w:sz w:val="22"/>
          <w:szCs w:val="22"/>
        </w:rPr>
        <w:t xml:space="preserve"> B. Hedman, 1985. “Energy Analysis of 108 Industrial Processes.”</w:t>
      </w:r>
    </w:p>
    <w:p w14:paraId="7056F5C9" w14:textId="77777777" w:rsidR="00664F68" w:rsidRDefault="00664F68" w:rsidP="00664F68">
      <w:pPr>
        <w:ind w:firstLine="720"/>
        <w:rPr>
          <w:rFonts w:cs="Times New Roman"/>
          <w:sz w:val="22"/>
          <w:szCs w:val="22"/>
        </w:rPr>
      </w:pPr>
      <w:r w:rsidRPr="00AE52E4">
        <w:rPr>
          <w:rFonts w:cs="Times New Roman"/>
          <w:sz w:val="22"/>
          <w:szCs w:val="22"/>
        </w:rPr>
        <w:t>The Fairmont Press, Inc.</w:t>
      </w:r>
    </w:p>
    <w:p w14:paraId="46F88B8A" w14:textId="693C22B8" w:rsidR="005F1C4F" w:rsidRDefault="005F1C4F" w:rsidP="00427C94">
      <w:pPr>
        <w:rPr>
          <w:rFonts w:cs="Times New Roman"/>
          <w:sz w:val="22"/>
          <w:szCs w:val="22"/>
        </w:rPr>
      </w:pPr>
      <w:r>
        <w:rPr>
          <w:rFonts w:cs="Times New Roman"/>
          <w:sz w:val="22"/>
          <w:szCs w:val="22"/>
        </w:rPr>
        <w:t>Cornell University, 2014. “</w:t>
      </w:r>
      <w:r w:rsidRPr="005F1C4F">
        <w:rPr>
          <w:rFonts w:cs="Times New Roman"/>
          <w:sz w:val="22"/>
          <w:szCs w:val="22"/>
        </w:rPr>
        <w:t>CUAES Greenhouses - Energy Consumption and Equivalents</w:t>
      </w:r>
      <w:r>
        <w:rPr>
          <w:rFonts w:cs="Times New Roman"/>
          <w:sz w:val="22"/>
          <w:szCs w:val="22"/>
        </w:rPr>
        <w:t xml:space="preserve">.” </w:t>
      </w:r>
    </w:p>
    <w:p w14:paraId="771CB986" w14:textId="5E392D8B" w:rsidR="005F1C4F" w:rsidRDefault="003C6770" w:rsidP="00427C94">
      <w:pPr>
        <w:ind w:left="720"/>
        <w:rPr>
          <w:rFonts w:cs="Times New Roman"/>
          <w:sz w:val="22"/>
          <w:szCs w:val="22"/>
        </w:rPr>
      </w:pPr>
      <w:hyperlink r:id="rId38" w:history="1">
        <w:r w:rsidR="005F1C4F" w:rsidRPr="005F1C4F">
          <w:rPr>
            <w:rStyle w:val="Hyperlink"/>
            <w:rFonts w:cs="Times New Roman"/>
            <w:sz w:val="22"/>
            <w:szCs w:val="22"/>
          </w:rPr>
          <w:t>https://cuaes.cals.cornell.edu/sites/cuaes.cals.cornell.edu/files/shared/documents/Greenhouse-energy-consumption-2014-03-21.pdf</w:t>
        </w:r>
      </w:hyperlink>
      <w:r w:rsidR="009216EA">
        <w:rPr>
          <w:rStyle w:val="Hyperlink"/>
          <w:rFonts w:cs="Times New Roman"/>
          <w:sz w:val="22"/>
          <w:szCs w:val="22"/>
        </w:rPr>
        <w:t xml:space="preserve"> (accessed April 27, 2016).</w:t>
      </w:r>
    </w:p>
    <w:p w14:paraId="532000D3" w14:textId="24064517" w:rsidR="00664F68" w:rsidRPr="00AE52E4" w:rsidRDefault="00664F68" w:rsidP="00664F68">
      <w:pPr>
        <w:rPr>
          <w:rFonts w:cs="Times New Roman"/>
          <w:sz w:val="22"/>
          <w:szCs w:val="22"/>
        </w:rPr>
      </w:pPr>
      <w:r w:rsidRPr="00AE52E4">
        <w:rPr>
          <w:rFonts w:cs="Times New Roman"/>
          <w:sz w:val="22"/>
          <w:szCs w:val="22"/>
        </w:rPr>
        <w:t>DOE, 2010. “Guide to Determining Climate Regions by County.”</w:t>
      </w:r>
    </w:p>
    <w:p w14:paraId="0DCC9292" w14:textId="4610A495" w:rsidR="00664F68" w:rsidRPr="00AE52E4" w:rsidRDefault="003C6770" w:rsidP="00664F68">
      <w:pPr>
        <w:ind w:left="720"/>
        <w:rPr>
          <w:rFonts w:cs="Times New Roman"/>
          <w:sz w:val="22"/>
          <w:szCs w:val="22"/>
        </w:rPr>
      </w:pPr>
      <w:hyperlink r:id="rId39" w:history="1">
        <w:r w:rsidR="00664F68" w:rsidRPr="00AE52E4">
          <w:rPr>
            <w:rStyle w:val="Hyperlink"/>
            <w:rFonts w:cs="Times New Roman"/>
            <w:sz w:val="22"/>
            <w:szCs w:val="22"/>
          </w:rPr>
          <w:t>http://apps1.eere.energy.gov/buildings/publications/pdfs/building_america/ba_climateguide_7_1.pdf</w:t>
        </w:r>
      </w:hyperlink>
      <w:r w:rsidR="009216EA">
        <w:rPr>
          <w:rStyle w:val="Hyperlink"/>
          <w:rFonts w:cs="Times New Roman"/>
          <w:sz w:val="22"/>
          <w:szCs w:val="22"/>
        </w:rPr>
        <w:t xml:space="preserve"> (accessed March 15, 2016).</w:t>
      </w:r>
    </w:p>
    <w:p w14:paraId="70D0526F" w14:textId="2134B89E" w:rsidR="003D6DE0" w:rsidRDefault="003D6DE0" w:rsidP="00664F68">
      <w:pPr>
        <w:rPr>
          <w:rFonts w:cs="Times New Roman"/>
          <w:sz w:val="22"/>
          <w:szCs w:val="22"/>
        </w:rPr>
      </w:pPr>
      <w:r>
        <w:rPr>
          <w:rFonts w:cs="Times New Roman"/>
          <w:sz w:val="22"/>
          <w:szCs w:val="22"/>
        </w:rPr>
        <w:t xml:space="preserve">DOE, 2014. “Alternative Fuels Data Center – Fuel Properties Comparison.” </w:t>
      </w:r>
    </w:p>
    <w:p w14:paraId="7D397B1B" w14:textId="5BAD9BBD" w:rsidR="003D6DE0" w:rsidRDefault="003D6DE0" w:rsidP="00664F68">
      <w:pPr>
        <w:rPr>
          <w:rFonts w:cs="Times New Roman"/>
          <w:sz w:val="22"/>
          <w:szCs w:val="22"/>
        </w:rPr>
      </w:pPr>
      <w:r>
        <w:rPr>
          <w:rFonts w:cs="Times New Roman"/>
          <w:sz w:val="22"/>
          <w:szCs w:val="22"/>
        </w:rPr>
        <w:tab/>
      </w:r>
      <w:hyperlink r:id="rId40" w:history="1">
        <w:r w:rsidR="00E65866" w:rsidRPr="00973C0E">
          <w:rPr>
            <w:rStyle w:val="Hyperlink"/>
            <w:rFonts w:cs="Times New Roman"/>
            <w:sz w:val="22"/>
            <w:szCs w:val="22"/>
          </w:rPr>
          <w:t>http://www.afdc.energy.gov/fuels/fuel_comparison_chart.pdf</w:t>
        </w:r>
      </w:hyperlink>
      <w:r w:rsidR="00F857CA">
        <w:rPr>
          <w:rStyle w:val="Hyperlink"/>
          <w:rFonts w:cs="Times New Roman"/>
          <w:sz w:val="22"/>
          <w:szCs w:val="22"/>
        </w:rPr>
        <w:t xml:space="preserve"> (accessed April 15, 2016).</w:t>
      </w:r>
    </w:p>
    <w:p w14:paraId="67953029" w14:textId="166A13A2" w:rsidR="00B67D60" w:rsidRDefault="00B67D60" w:rsidP="00D433B8">
      <w:pPr>
        <w:ind w:left="720" w:hanging="720"/>
        <w:rPr>
          <w:rFonts w:cs="Times New Roman"/>
          <w:sz w:val="22"/>
          <w:szCs w:val="22"/>
        </w:rPr>
      </w:pPr>
      <w:r>
        <w:rPr>
          <w:rFonts w:cs="Times New Roman"/>
          <w:sz w:val="22"/>
          <w:szCs w:val="22"/>
        </w:rPr>
        <w:t>DOE</w:t>
      </w:r>
      <w:r w:rsidR="00026D34">
        <w:rPr>
          <w:rFonts w:cs="Times New Roman"/>
          <w:sz w:val="22"/>
          <w:szCs w:val="22"/>
        </w:rPr>
        <w:t>,</w:t>
      </w:r>
      <w:r>
        <w:rPr>
          <w:rFonts w:cs="Times New Roman"/>
          <w:sz w:val="22"/>
          <w:szCs w:val="22"/>
        </w:rPr>
        <w:t xml:space="preserve"> 2016, “Geothermal Vision Study” website. </w:t>
      </w:r>
      <w:hyperlink r:id="rId41" w:history="1">
        <w:r w:rsidRPr="004F4DA5">
          <w:rPr>
            <w:rStyle w:val="Hyperlink"/>
            <w:rFonts w:cs="Times New Roman"/>
            <w:sz w:val="22"/>
            <w:szCs w:val="22"/>
          </w:rPr>
          <w:t>http://energy.gov/eere/geothermal/geothermal-vision-study</w:t>
        </w:r>
      </w:hyperlink>
      <w:r>
        <w:rPr>
          <w:rFonts w:cs="Times New Roman"/>
          <w:sz w:val="22"/>
          <w:szCs w:val="22"/>
        </w:rPr>
        <w:t xml:space="preserve"> </w:t>
      </w:r>
      <w:r w:rsidR="00F857CA">
        <w:rPr>
          <w:rFonts w:cs="Times New Roman"/>
          <w:sz w:val="22"/>
          <w:szCs w:val="22"/>
        </w:rPr>
        <w:t>(</w:t>
      </w:r>
      <w:r>
        <w:rPr>
          <w:rFonts w:cs="Times New Roman"/>
          <w:sz w:val="22"/>
          <w:szCs w:val="22"/>
        </w:rPr>
        <w:t>accessed May 10, 2016</w:t>
      </w:r>
      <w:r w:rsidR="00F857CA">
        <w:rPr>
          <w:rFonts w:cs="Times New Roman"/>
          <w:sz w:val="22"/>
          <w:szCs w:val="22"/>
        </w:rPr>
        <w:t>)</w:t>
      </w:r>
      <w:r>
        <w:rPr>
          <w:rFonts w:cs="Times New Roman"/>
          <w:sz w:val="22"/>
          <w:szCs w:val="22"/>
        </w:rPr>
        <w:t>.</w:t>
      </w:r>
    </w:p>
    <w:p w14:paraId="7C1F9E70" w14:textId="77777777" w:rsidR="00664F68" w:rsidRPr="00AE52E4" w:rsidRDefault="00664F68" w:rsidP="00664F68">
      <w:pPr>
        <w:rPr>
          <w:rFonts w:cs="Times New Roman"/>
          <w:sz w:val="22"/>
          <w:szCs w:val="22"/>
        </w:rPr>
      </w:pPr>
      <w:r w:rsidRPr="00AE52E4">
        <w:rPr>
          <w:rFonts w:cs="Times New Roman"/>
          <w:sz w:val="22"/>
          <w:szCs w:val="22"/>
        </w:rPr>
        <w:t>EIA, 2003. “Commercial Buildings Consumption Survey (CBECS) – Microdata.”</w:t>
      </w:r>
    </w:p>
    <w:p w14:paraId="640E1FC1" w14:textId="75480D81" w:rsidR="00664F68" w:rsidRPr="008C6012" w:rsidRDefault="003C6770" w:rsidP="00487921">
      <w:pPr>
        <w:ind w:left="720"/>
        <w:rPr>
          <w:rFonts w:cs="Times New Roman"/>
          <w:sz w:val="22"/>
          <w:szCs w:val="22"/>
        </w:rPr>
      </w:pPr>
      <w:hyperlink r:id="rId42" w:history="1">
        <w:r w:rsidR="00664F68" w:rsidRPr="00AE52E4">
          <w:rPr>
            <w:rStyle w:val="Hyperlink"/>
            <w:rFonts w:cs="Times New Roman"/>
            <w:sz w:val="22"/>
            <w:szCs w:val="22"/>
          </w:rPr>
          <w:t>http://www.eia.gov/consumption/commercial/data/2003/index.cfm?view=microdata</w:t>
        </w:r>
      </w:hyperlink>
      <w:r w:rsidR="00F857CA">
        <w:rPr>
          <w:rStyle w:val="Hyperlink"/>
          <w:rFonts w:cs="Times New Roman"/>
          <w:color w:val="auto"/>
          <w:sz w:val="22"/>
          <w:szCs w:val="22"/>
          <w:u w:val="none"/>
        </w:rPr>
        <w:t xml:space="preserve"> (accessed February 17, 2016).</w:t>
      </w:r>
    </w:p>
    <w:p w14:paraId="0CE50CB4" w14:textId="77777777" w:rsidR="00664F68" w:rsidRPr="00AE52E4" w:rsidRDefault="00664F68" w:rsidP="00664F68">
      <w:pPr>
        <w:rPr>
          <w:rFonts w:cs="Times New Roman"/>
          <w:sz w:val="22"/>
          <w:szCs w:val="22"/>
        </w:rPr>
      </w:pPr>
      <w:r w:rsidRPr="00AE52E4">
        <w:rPr>
          <w:rFonts w:cs="Times New Roman"/>
          <w:sz w:val="22"/>
          <w:szCs w:val="22"/>
        </w:rPr>
        <w:t>EIA, 2009. “Residential Energy Consumption Survey (RECS).”</w:t>
      </w:r>
    </w:p>
    <w:p w14:paraId="4A2503D9" w14:textId="0D7FA6DB" w:rsidR="00664F68" w:rsidRPr="008C6012" w:rsidRDefault="003C6770" w:rsidP="00664F68">
      <w:pPr>
        <w:ind w:firstLine="720"/>
        <w:rPr>
          <w:rFonts w:cs="Times New Roman"/>
          <w:sz w:val="22"/>
          <w:szCs w:val="22"/>
        </w:rPr>
      </w:pPr>
      <w:hyperlink r:id="rId43" w:history="1">
        <w:r w:rsidR="00664F68" w:rsidRPr="00AE52E4">
          <w:rPr>
            <w:rStyle w:val="Hyperlink"/>
            <w:rFonts w:cs="Times New Roman"/>
            <w:sz w:val="22"/>
            <w:szCs w:val="22"/>
          </w:rPr>
          <w:t>http://www.eia.gov/consumption/residential/</w:t>
        </w:r>
      </w:hyperlink>
      <w:r w:rsidR="003105E0">
        <w:rPr>
          <w:rStyle w:val="Hyperlink"/>
          <w:rFonts w:cs="Times New Roman"/>
          <w:color w:val="auto"/>
          <w:sz w:val="22"/>
          <w:szCs w:val="22"/>
          <w:u w:val="none"/>
        </w:rPr>
        <w:t xml:space="preserve"> (accessed February 11, 2016).</w:t>
      </w:r>
    </w:p>
    <w:p w14:paraId="091166FD" w14:textId="77777777" w:rsidR="00664F68" w:rsidRPr="00AE52E4" w:rsidRDefault="00664F68" w:rsidP="00664F68">
      <w:pPr>
        <w:rPr>
          <w:rFonts w:cs="Times New Roman"/>
          <w:sz w:val="22"/>
          <w:szCs w:val="22"/>
        </w:rPr>
      </w:pPr>
      <w:r w:rsidRPr="00AE52E4">
        <w:rPr>
          <w:rFonts w:cs="Times New Roman"/>
          <w:sz w:val="22"/>
          <w:szCs w:val="22"/>
        </w:rPr>
        <w:t>EIA, 2010. “Manufacturing Energy Consumption Survey (MECS).”</w:t>
      </w:r>
    </w:p>
    <w:p w14:paraId="7BA8B280" w14:textId="4CE0FBF1" w:rsidR="00664F68" w:rsidRPr="008C6012" w:rsidRDefault="00664F68" w:rsidP="00664F68">
      <w:pPr>
        <w:rPr>
          <w:rFonts w:cs="Times New Roman"/>
          <w:sz w:val="22"/>
          <w:szCs w:val="22"/>
        </w:rPr>
      </w:pPr>
      <w:r w:rsidRPr="00AE52E4">
        <w:rPr>
          <w:rFonts w:cs="Times New Roman"/>
          <w:sz w:val="22"/>
          <w:szCs w:val="22"/>
        </w:rPr>
        <w:tab/>
      </w:r>
      <w:hyperlink r:id="rId44" w:history="1">
        <w:r w:rsidRPr="00AE52E4">
          <w:rPr>
            <w:rStyle w:val="Hyperlink"/>
            <w:rFonts w:cs="Times New Roman"/>
            <w:sz w:val="22"/>
            <w:szCs w:val="22"/>
          </w:rPr>
          <w:t>http://www.eia.gov/consumption/manufacturing/</w:t>
        </w:r>
      </w:hyperlink>
      <w:r w:rsidR="00263743">
        <w:rPr>
          <w:rStyle w:val="Hyperlink"/>
          <w:rFonts w:cs="Times New Roman"/>
          <w:color w:val="auto"/>
          <w:sz w:val="22"/>
          <w:szCs w:val="22"/>
          <w:u w:val="none"/>
        </w:rPr>
        <w:t xml:space="preserve"> (accessed February 22, 2016).</w:t>
      </w:r>
    </w:p>
    <w:p w14:paraId="11D4DA5B" w14:textId="77777777" w:rsidR="00664F68" w:rsidRPr="00AE52E4" w:rsidRDefault="00664F68" w:rsidP="00664F68">
      <w:pPr>
        <w:rPr>
          <w:rFonts w:cs="Times New Roman"/>
          <w:sz w:val="22"/>
          <w:szCs w:val="22"/>
        </w:rPr>
      </w:pPr>
      <w:r w:rsidRPr="00AE52E4">
        <w:rPr>
          <w:rFonts w:cs="Times New Roman"/>
          <w:sz w:val="22"/>
          <w:szCs w:val="22"/>
        </w:rPr>
        <w:t>EIA, 2012. “Commercial Buildings Consumption Survey (CBECS) – Energy Usage Summary.”</w:t>
      </w:r>
    </w:p>
    <w:p w14:paraId="2DC9804B" w14:textId="574B8F5D" w:rsidR="00664F68" w:rsidRPr="008C6012" w:rsidRDefault="003C6770" w:rsidP="00487921">
      <w:pPr>
        <w:ind w:left="720"/>
        <w:rPr>
          <w:rFonts w:cs="Times New Roman"/>
          <w:sz w:val="22"/>
          <w:szCs w:val="22"/>
        </w:rPr>
      </w:pPr>
      <w:hyperlink r:id="rId45" w:history="1">
        <w:r w:rsidR="00664F68" w:rsidRPr="00AE52E4">
          <w:rPr>
            <w:rStyle w:val="Hyperlink"/>
            <w:rFonts w:cs="Times New Roman"/>
            <w:sz w:val="22"/>
            <w:szCs w:val="22"/>
          </w:rPr>
          <w:t>http://www.eia.gov/consumption/commercial/reports/2012/energyusage/index.cfm</w:t>
        </w:r>
      </w:hyperlink>
      <w:r w:rsidR="00263743">
        <w:rPr>
          <w:rStyle w:val="Hyperlink"/>
          <w:rFonts w:cs="Times New Roman"/>
          <w:color w:val="auto"/>
          <w:sz w:val="22"/>
          <w:szCs w:val="22"/>
          <w:u w:val="none"/>
        </w:rPr>
        <w:t xml:space="preserve"> (accessed March 22, 2016).</w:t>
      </w:r>
    </w:p>
    <w:p w14:paraId="36D753E7" w14:textId="77777777" w:rsidR="00611D9E" w:rsidRPr="008C6012" w:rsidRDefault="00E95F02" w:rsidP="00E95F02">
      <w:pPr>
        <w:rPr>
          <w:rFonts w:cs="Times New Roman"/>
          <w:sz w:val="22"/>
          <w:szCs w:val="22"/>
        </w:rPr>
      </w:pPr>
      <w:r w:rsidRPr="008C6012">
        <w:rPr>
          <w:rFonts w:cs="Times New Roman"/>
          <w:sz w:val="22"/>
          <w:szCs w:val="22"/>
        </w:rPr>
        <w:t>EIA, 2014. “</w:t>
      </w:r>
      <w:r w:rsidRPr="00487921">
        <w:rPr>
          <w:sz w:val="22"/>
          <w:szCs w:val="22"/>
        </w:rPr>
        <w:t>Energy for growing and harvesting crops is a large component of farm operating costs</w:t>
      </w:r>
      <w:r w:rsidRPr="008C6012">
        <w:rPr>
          <w:rFonts w:cs="Times New Roman"/>
          <w:sz w:val="22"/>
          <w:szCs w:val="22"/>
        </w:rPr>
        <w:t>.”</w:t>
      </w:r>
    </w:p>
    <w:p w14:paraId="13A0A8B1" w14:textId="37FECE81" w:rsidR="00E95F02" w:rsidRPr="008C6012" w:rsidRDefault="003C6770" w:rsidP="00427C94">
      <w:pPr>
        <w:ind w:firstLine="720"/>
        <w:rPr>
          <w:rFonts w:cs="Times New Roman"/>
          <w:sz w:val="22"/>
          <w:szCs w:val="22"/>
        </w:rPr>
      </w:pPr>
      <w:hyperlink r:id="rId46" w:history="1">
        <w:r w:rsidR="00E95F02" w:rsidRPr="00611D9E">
          <w:rPr>
            <w:rStyle w:val="Hyperlink"/>
            <w:rFonts w:cs="Times New Roman"/>
            <w:sz w:val="22"/>
            <w:szCs w:val="22"/>
          </w:rPr>
          <w:t>https://www.eia.gov/todayinenergy/detail.cfm?id=18431#</w:t>
        </w:r>
      </w:hyperlink>
      <w:r w:rsidR="00A808BB">
        <w:rPr>
          <w:rStyle w:val="Hyperlink"/>
          <w:rFonts w:cs="Times New Roman"/>
          <w:color w:val="auto"/>
          <w:sz w:val="22"/>
          <w:szCs w:val="22"/>
          <w:u w:val="none"/>
        </w:rPr>
        <w:t xml:space="preserve"> (accessed April 14, 2016).</w:t>
      </w:r>
    </w:p>
    <w:p w14:paraId="0226A4B3" w14:textId="77777777" w:rsidR="00D5724D" w:rsidRDefault="006A53C0" w:rsidP="006A53C0">
      <w:pPr>
        <w:rPr>
          <w:rStyle w:val="Hyperlink"/>
          <w:rFonts w:cs="Times New Roman"/>
          <w:color w:val="auto"/>
          <w:sz w:val="22"/>
          <w:szCs w:val="22"/>
          <w:u w:val="none"/>
        </w:rPr>
      </w:pPr>
      <w:r>
        <w:rPr>
          <w:rFonts w:cs="Times New Roman"/>
          <w:sz w:val="22"/>
          <w:szCs w:val="22"/>
        </w:rPr>
        <w:t>EIA, 2016</w:t>
      </w:r>
      <w:r w:rsidR="00F41C65">
        <w:rPr>
          <w:rFonts w:cs="Times New Roman"/>
          <w:sz w:val="22"/>
          <w:szCs w:val="22"/>
        </w:rPr>
        <w:t>a</w:t>
      </w:r>
      <w:r>
        <w:rPr>
          <w:rFonts w:cs="Times New Roman"/>
          <w:sz w:val="22"/>
          <w:szCs w:val="22"/>
        </w:rPr>
        <w:t xml:space="preserve">. “Gasoline and Diesel Fuel Update.” </w:t>
      </w:r>
      <w:hyperlink r:id="rId47" w:history="1">
        <w:r w:rsidRPr="00973C0E">
          <w:rPr>
            <w:rStyle w:val="Hyperlink"/>
            <w:rFonts w:cs="Times New Roman"/>
            <w:sz w:val="22"/>
            <w:szCs w:val="22"/>
          </w:rPr>
          <w:t>http://www.eia.gov/petroleum/gasdiesel/</w:t>
        </w:r>
      </w:hyperlink>
      <w:r w:rsidR="00D5724D">
        <w:rPr>
          <w:rStyle w:val="Hyperlink"/>
          <w:rFonts w:cs="Times New Roman"/>
          <w:color w:val="auto"/>
          <w:sz w:val="22"/>
          <w:szCs w:val="22"/>
          <w:u w:val="none"/>
        </w:rPr>
        <w:t xml:space="preserve"> (accessed April</w:t>
      </w:r>
    </w:p>
    <w:p w14:paraId="46A194B6" w14:textId="1F8911F7" w:rsidR="006A53C0" w:rsidRPr="008C6012" w:rsidRDefault="00D5724D" w:rsidP="00487921">
      <w:pPr>
        <w:ind w:firstLine="720"/>
        <w:rPr>
          <w:rFonts w:cs="Times New Roman"/>
          <w:sz w:val="22"/>
          <w:szCs w:val="22"/>
        </w:rPr>
      </w:pPr>
      <w:r>
        <w:rPr>
          <w:rStyle w:val="Hyperlink"/>
          <w:rFonts w:cs="Times New Roman"/>
          <w:color w:val="auto"/>
          <w:sz w:val="22"/>
          <w:szCs w:val="22"/>
          <w:u w:val="none"/>
        </w:rPr>
        <w:t>15, 2016).</w:t>
      </w:r>
    </w:p>
    <w:p w14:paraId="1C493F4D" w14:textId="41F5B4D4" w:rsidR="00D37246" w:rsidRDefault="00F41C65" w:rsidP="006A53C0">
      <w:pPr>
        <w:rPr>
          <w:rFonts w:cs="Times New Roman"/>
          <w:sz w:val="22"/>
          <w:szCs w:val="22"/>
        </w:rPr>
      </w:pPr>
      <w:r>
        <w:rPr>
          <w:rFonts w:cs="Times New Roman"/>
          <w:sz w:val="22"/>
          <w:szCs w:val="22"/>
        </w:rPr>
        <w:t>EIA, 2016b.</w:t>
      </w:r>
      <w:r w:rsidR="00C72BEF">
        <w:rPr>
          <w:rFonts w:cs="Times New Roman"/>
          <w:sz w:val="22"/>
          <w:szCs w:val="22"/>
        </w:rPr>
        <w:t xml:space="preserve"> “Table 2.4. Average Price of Electricity to Ultimate Customers.”</w:t>
      </w:r>
      <w:bookmarkStart w:id="16" w:name="_GoBack"/>
      <w:bookmarkEnd w:id="16"/>
    </w:p>
    <w:p w14:paraId="72B0C7CF" w14:textId="56DBEF68" w:rsidR="00C72BEF" w:rsidRPr="008C6012" w:rsidRDefault="00C72BEF" w:rsidP="006A53C0">
      <w:pPr>
        <w:rPr>
          <w:rFonts w:cs="Times New Roman"/>
          <w:sz w:val="22"/>
          <w:szCs w:val="22"/>
        </w:rPr>
      </w:pPr>
      <w:r>
        <w:rPr>
          <w:rFonts w:cs="Times New Roman"/>
          <w:sz w:val="22"/>
          <w:szCs w:val="22"/>
        </w:rPr>
        <w:tab/>
      </w:r>
      <w:hyperlink r:id="rId48" w:history="1">
        <w:r w:rsidRPr="00973C0E">
          <w:rPr>
            <w:rStyle w:val="Hyperlink"/>
            <w:rFonts w:cs="Times New Roman"/>
            <w:sz w:val="22"/>
            <w:szCs w:val="22"/>
          </w:rPr>
          <w:t>http://www.eia.gov/electricity/annual/xls/epa_02_04.xlsx</w:t>
        </w:r>
      </w:hyperlink>
      <w:r w:rsidR="00DD5FF0">
        <w:rPr>
          <w:rStyle w:val="Hyperlink"/>
          <w:rFonts w:cs="Times New Roman"/>
          <w:color w:val="auto"/>
          <w:sz w:val="22"/>
          <w:szCs w:val="22"/>
          <w:u w:val="none"/>
        </w:rPr>
        <w:t xml:space="preserve"> (accessed April 15</w:t>
      </w:r>
      <w:r w:rsidR="00597C5C">
        <w:rPr>
          <w:rStyle w:val="Hyperlink"/>
          <w:rFonts w:cs="Times New Roman"/>
          <w:color w:val="auto"/>
          <w:sz w:val="22"/>
          <w:szCs w:val="22"/>
          <w:u w:val="none"/>
        </w:rPr>
        <w:t>, 2016).</w:t>
      </w:r>
    </w:p>
    <w:p w14:paraId="1571BD0F" w14:textId="0A26F0CD" w:rsidR="00883E9F" w:rsidRDefault="00883E9F" w:rsidP="00883E9F">
      <w:pPr>
        <w:rPr>
          <w:rFonts w:cs="Times New Roman"/>
          <w:sz w:val="22"/>
          <w:szCs w:val="22"/>
        </w:rPr>
      </w:pPr>
      <w:r>
        <w:rPr>
          <w:rFonts w:cs="Times New Roman"/>
          <w:sz w:val="22"/>
          <w:szCs w:val="22"/>
        </w:rPr>
        <w:lastRenderedPageBreak/>
        <w:t>EIA, 2016</w:t>
      </w:r>
      <w:r w:rsidR="00F41C65">
        <w:rPr>
          <w:rFonts w:cs="Times New Roman"/>
          <w:sz w:val="22"/>
          <w:szCs w:val="22"/>
        </w:rPr>
        <w:t>c</w:t>
      </w:r>
      <w:r>
        <w:rPr>
          <w:rFonts w:cs="Times New Roman"/>
          <w:sz w:val="22"/>
          <w:szCs w:val="22"/>
        </w:rPr>
        <w:t xml:space="preserve">. “United States Natural Gas Industrial Price.” </w:t>
      </w:r>
    </w:p>
    <w:p w14:paraId="476E9329" w14:textId="78BD8F51" w:rsidR="00883E9F" w:rsidRPr="008C6012" w:rsidRDefault="00883E9F" w:rsidP="00883E9F">
      <w:pPr>
        <w:rPr>
          <w:rFonts w:cs="Times New Roman"/>
          <w:sz w:val="22"/>
          <w:szCs w:val="22"/>
        </w:rPr>
      </w:pPr>
      <w:r>
        <w:rPr>
          <w:rFonts w:cs="Times New Roman"/>
          <w:sz w:val="22"/>
          <w:szCs w:val="22"/>
        </w:rPr>
        <w:tab/>
      </w:r>
      <w:hyperlink r:id="rId49" w:history="1">
        <w:r w:rsidRPr="00973C0E">
          <w:rPr>
            <w:rStyle w:val="Hyperlink"/>
            <w:rFonts w:cs="Times New Roman"/>
            <w:sz w:val="22"/>
            <w:szCs w:val="22"/>
          </w:rPr>
          <w:t>http://www.eia.gov/dnav/ng/hist/n3035us3M.htm</w:t>
        </w:r>
      </w:hyperlink>
      <w:r w:rsidR="00597C5C">
        <w:rPr>
          <w:rStyle w:val="Hyperlink"/>
          <w:rFonts w:cs="Times New Roman"/>
          <w:color w:val="auto"/>
          <w:sz w:val="22"/>
          <w:szCs w:val="22"/>
          <w:u w:val="none"/>
        </w:rPr>
        <w:t xml:space="preserve"> (accessed April 15, 2016).</w:t>
      </w:r>
    </w:p>
    <w:p w14:paraId="2347B52F" w14:textId="12F09C67" w:rsidR="00883E9F" w:rsidRDefault="00883E9F" w:rsidP="00883E9F">
      <w:pPr>
        <w:rPr>
          <w:rFonts w:cs="Times New Roman"/>
          <w:sz w:val="22"/>
          <w:szCs w:val="22"/>
        </w:rPr>
      </w:pPr>
      <w:r>
        <w:rPr>
          <w:rFonts w:cs="Times New Roman"/>
          <w:sz w:val="22"/>
          <w:szCs w:val="22"/>
        </w:rPr>
        <w:t>EIA, 2016</w:t>
      </w:r>
      <w:r w:rsidR="00F41C65">
        <w:rPr>
          <w:rFonts w:cs="Times New Roman"/>
          <w:sz w:val="22"/>
          <w:szCs w:val="22"/>
        </w:rPr>
        <w:t>d</w:t>
      </w:r>
      <w:r>
        <w:rPr>
          <w:rFonts w:cs="Times New Roman"/>
          <w:sz w:val="22"/>
          <w:szCs w:val="22"/>
        </w:rPr>
        <w:t xml:space="preserve">. “Weekly Heating Oil and Propane Prices (October – March).” </w:t>
      </w:r>
    </w:p>
    <w:p w14:paraId="10FE81CD" w14:textId="08C7D521" w:rsidR="00883E9F" w:rsidRDefault="003C6770" w:rsidP="00487921">
      <w:pPr>
        <w:ind w:left="720"/>
        <w:rPr>
          <w:rStyle w:val="Hyperlink"/>
          <w:rFonts w:cs="Times New Roman"/>
          <w:color w:val="auto"/>
          <w:sz w:val="22"/>
          <w:szCs w:val="22"/>
          <w:u w:val="none"/>
        </w:rPr>
      </w:pPr>
      <w:hyperlink r:id="rId50" w:history="1">
        <w:r w:rsidR="00883E9F" w:rsidRPr="00973C0E">
          <w:rPr>
            <w:rStyle w:val="Hyperlink"/>
            <w:rFonts w:cs="Times New Roman"/>
            <w:sz w:val="22"/>
            <w:szCs w:val="22"/>
          </w:rPr>
          <w:t>http://www.eia.gov/dnav/pet/pet_pri_wfr_a_EPLLPA_PWR_dpgal_w.htm</w:t>
        </w:r>
      </w:hyperlink>
      <w:r w:rsidR="00DD5FF0">
        <w:rPr>
          <w:rStyle w:val="Hyperlink"/>
          <w:rFonts w:cs="Times New Roman"/>
          <w:color w:val="auto"/>
          <w:sz w:val="22"/>
          <w:szCs w:val="22"/>
          <w:u w:val="none"/>
        </w:rPr>
        <w:t xml:space="preserve"> (accessed April 15, 2016).</w:t>
      </w:r>
    </w:p>
    <w:p w14:paraId="14ABF5F0" w14:textId="77777777" w:rsidR="00FD15D1" w:rsidRDefault="00FD15D1" w:rsidP="008A3C3C">
      <w:pPr>
        <w:rPr>
          <w:rFonts w:cs="Times New Roman"/>
          <w:sz w:val="22"/>
          <w:szCs w:val="22"/>
        </w:rPr>
      </w:pPr>
      <w:r>
        <w:rPr>
          <w:rStyle w:val="Hyperlink"/>
          <w:rFonts w:cs="Times New Roman"/>
          <w:color w:val="auto"/>
          <w:sz w:val="22"/>
          <w:szCs w:val="22"/>
          <w:u w:val="none"/>
        </w:rPr>
        <w:t>FEMA, 2013. “</w:t>
      </w:r>
      <w:r w:rsidRPr="00FD15D1">
        <w:rPr>
          <w:rFonts w:cs="Times New Roman"/>
          <w:sz w:val="22"/>
          <w:szCs w:val="22"/>
        </w:rPr>
        <w:t>Comprehensive Data Management System (CDMS) version 2.5</w:t>
      </w:r>
      <w:r>
        <w:rPr>
          <w:rFonts w:cs="Times New Roman"/>
          <w:sz w:val="22"/>
          <w:szCs w:val="22"/>
        </w:rPr>
        <w:t>.”</w:t>
      </w:r>
    </w:p>
    <w:p w14:paraId="46AD1B88" w14:textId="14563DCC" w:rsidR="00FD15D1" w:rsidRPr="00FD15D1" w:rsidRDefault="003C6770" w:rsidP="008A3C3C">
      <w:pPr>
        <w:ind w:firstLine="720"/>
        <w:rPr>
          <w:rFonts w:cs="Times New Roman"/>
          <w:sz w:val="22"/>
          <w:szCs w:val="22"/>
        </w:rPr>
      </w:pPr>
      <w:hyperlink r:id="rId51" w:history="1">
        <w:r w:rsidR="00FD15D1" w:rsidRPr="006D1BCA">
          <w:rPr>
            <w:rStyle w:val="Hyperlink"/>
            <w:rFonts w:cs="Times New Roman"/>
            <w:sz w:val="22"/>
            <w:szCs w:val="22"/>
          </w:rPr>
          <w:t>http://www.fema.gov/media-library/assets/documents/16975</w:t>
        </w:r>
      </w:hyperlink>
      <w:r w:rsidR="00FD15D1">
        <w:rPr>
          <w:rFonts w:cs="Times New Roman"/>
          <w:sz w:val="22"/>
          <w:szCs w:val="22"/>
        </w:rPr>
        <w:t xml:space="preserve"> (accessed June 6, 2016).</w:t>
      </w:r>
    </w:p>
    <w:p w14:paraId="4A5C0180" w14:textId="77777777" w:rsidR="002E590F" w:rsidRPr="00AE52E4" w:rsidRDefault="002E590F" w:rsidP="002E590F">
      <w:pPr>
        <w:rPr>
          <w:rFonts w:cs="Times New Roman"/>
          <w:sz w:val="22"/>
          <w:szCs w:val="22"/>
        </w:rPr>
      </w:pPr>
      <w:r w:rsidRPr="00AE52E4">
        <w:rPr>
          <w:rFonts w:cs="Times New Roman"/>
          <w:sz w:val="22"/>
          <w:szCs w:val="22"/>
        </w:rPr>
        <w:t xml:space="preserve">Fox, D., D. Sutter, and </w:t>
      </w:r>
      <w:r w:rsidR="00400CE2" w:rsidRPr="00AE52E4">
        <w:rPr>
          <w:rFonts w:cs="Times New Roman"/>
          <w:sz w:val="22"/>
          <w:szCs w:val="22"/>
        </w:rPr>
        <w:t xml:space="preserve">J. Tester, 2011. “The thermal spectrum of low-temperature energy </w:t>
      </w:r>
      <w:r w:rsidRPr="00AE52E4">
        <w:rPr>
          <w:rFonts w:cs="Times New Roman"/>
          <w:sz w:val="22"/>
          <w:szCs w:val="22"/>
        </w:rPr>
        <w:t>use in</w:t>
      </w:r>
    </w:p>
    <w:p w14:paraId="66430F5D" w14:textId="46B27B25" w:rsidR="00400CE2" w:rsidRDefault="00400CE2" w:rsidP="002E590F">
      <w:pPr>
        <w:ind w:firstLine="720"/>
        <w:rPr>
          <w:rFonts w:cs="Times New Roman"/>
          <w:sz w:val="22"/>
          <w:szCs w:val="22"/>
        </w:rPr>
      </w:pPr>
      <w:r w:rsidRPr="00AE52E4">
        <w:rPr>
          <w:rFonts w:cs="Times New Roman"/>
          <w:sz w:val="22"/>
          <w:szCs w:val="22"/>
        </w:rPr>
        <w:t>the</w:t>
      </w:r>
      <w:r w:rsidR="002E590F" w:rsidRPr="00AE52E4">
        <w:rPr>
          <w:rFonts w:cs="Times New Roman"/>
          <w:sz w:val="22"/>
          <w:szCs w:val="22"/>
        </w:rPr>
        <w:t xml:space="preserve"> </w:t>
      </w:r>
      <w:r w:rsidRPr="00AE52E4">
        <w:rPr>
          <w:rFonts w:cs="Times New Roman"/>
          <w:sz w:val="22"/>
          <w:szCs w:val="22"/>
        </w:rPr>
        <w:t xml:space="preserve">United States.” </w:t>
      </w:r>
      <w:r w:rsidRPr="00AE52E4">
        <w:rPr>
          <w:rFonts w:cs="Times New Roman"/>
          <w:i/>
          <w:sz w:val="22"/>
          <w:szCs w:val="22"/>
        </w:rPr>
        <w:t>Energy &amp; Environmental Science</w:t>
      </w:r>
      <w:r w:rsidRPr="00AE52E4">
        <w:rPr>
          <w:rFonts w:cs="Times New Roman"/>
          <w:sz w:val="22"/>
          <w:szCs w:val="22"/>
        </w:rPr>
        <w:t xml:space="preserve"> 4.10 (2011): </w:t>
      </w:r>
      <w:r w:rsidR="006C17FF" w:rsidRPr="00AE52E4">
        <w:rPr>
          <w:rFonts w:cs="Times New Roman"/>
          <w:sz w:val="22"/>
          <w:szCs w:val="22"/>
        </w:rPr>
        <w:t xml:space="preserve">p. </w:t>
      </w:r>
      <w:r w:rsidRPr="00AE52E4">
        <w:rPr>
          <w:rFonts w:cs="Times New Roman"/>
          <w:sz w:val="22"/>
          <w:szCs w:val="22"/>
        </w:rPr>
        <w:t>3731-3740</w:t>
      </w:r>
    </w:p>
    <w:p w14:paraId="74BCEF02" w14:textId="37096B21" w:rsidR="00EA5D04" w:rsidRDefault="00EA5D04" w:rsidP="00EA5D04">
      <w:pPr>
        <w:rPr>
          <w:rFonts w:cs="Times New Roman"/>
          <w:sz w:val="22"/>
          <w:szCs w:val="22"/>
        </w:rPr>
      </w:pPr>
      <w:r w:rsidRPr="00EA5D04">
        <w:rPr>
          <w:rFonts w:cs="Times New Roman"/>
          <w:sz w:val="22"/>
          <w:szCs w:val="22"/>
        </w:rPr>
        <w:t>Minnesota Population Center</w:t>
      </w:r>
      <w:r>
        <w:rPr>
          <w:rFonts w:cs="Times New Roman"/>
          <w:sz w:val="22"/>
          <w:szCs w:val="22"/>
        </w:rPr>
        <w:t>, 2011</w:t>
      </w:r>
      <w:r w:rsidRPr="00EA5D04">
        <w:rPr>
          <w:rFonts w:cs="Times New Roman"/>
          <w:sz w:val="22"/>
          <w:szCs w:val="22"/>
        </w:rPr>
        <w:t>. </w:t>
      </w:r>
      <w:r w:rsidRPr="00EA5D04">
        <w:rPr>
          <w:rFonts w:cs="Times New Roman"/>
          <w:i/>
          <w:iCs/>
          <w:sz w:val="22"/>
          <w:szCs w:val="22"/>
        </w:rPr>
        <w:t>National Historical Geographic Information System: Version 2.0</w:t>
      </w:r>
      <w:r>
        <w:rPr>
          <w:rFonts w:cs="Times New Roman"/>
          <w:sz w:val="22"/>
          <w:szCs w:val="22"/>
        </w:rPr>
        <w:t>.</w:t>
      </w:r>
    </w:p>
    <w:p w14:paraId="6DC7317C" w14:textId="2DEEA3AA" w:rsidR="00EA5D04" w:rsidRDefault="00EA5D04" w:rsidP="00EA5D04">
      <w:pPr>
        <w:ind w:firstLine="720"/>
        <w:rPr>
          <w:rFonts w:cs="Times New Roman"/>
          <w:sz w:val="22"/>
          <w:szCs w:val="22"/>
        </w:rPr>
      </w:pPr>
      <w:r w:rsidRPr="00EA5D04">
        <w:rPr>
          <w:rFonts w:cs="Times New Roman"/>
          <w:sz w:val="22"/>
          <w:szCs w:val="22"/>
        </w:rPr>
        <w:t>Minneapolis, MN: University of Minnesot</w:t>
      </w:r>
      <w:r>
        <w:rPr>
          <w:rFonts w:cs="Times New Roman"/>
          <w:sz w:val="22"/>
          <w:szCs w:val="22"/>
        </w:rPr>
        <w:t>a.</w:t>
      </w:r>
    </w:p>
    <w:p w14:paraId="2D37A131" w14:textId="5907CC3C" w:rsidR="00034BEB" w:rsidRPr="00463581" w:rsidRDefault="00034BEB" w:rsidP="00463581">
      <w:pPr>
        <w:ind w:left="720" w:hanging="720"/>
        <w:rPr>
          <w:rFonts w:cs="Times New Roman"/>
          <w:sz w:val="22"/>
          <w:szCs w:val="22"/>
        </w:rPr>
      </w:pPr>
      <w:r>
        <w:rPr>
          <w:rFonts w:cs="Times New Roman"/>
          <w:sz w:val="22"/>
          <w:szCs w:val="22"/>
        </w:rPr>
        <w:t xml:space="preserve">Mullane, M., M. Gleason, K. McCabe, M. Mooney, K. Young, and T. Reber, 2016. “An </w:t>
      </w:r>
      <w:r w:rsidRPr="00463581">
        <w:rPr>
          <w:rFonts w:cs="Times New Roman"/>
          <w:sz w:val="22"/>
          <w:szCs w:val="22"/>
        </w:rPr>
        <w:t xml:space="preserve">Estimate </w:t>
      </w:r>
      <w:r w:rsidR="009F13AE" w:rsidRPr="00463581">
        <w:rPr>
          <w:rFonts w:cs="Times New Roman"/>
          <w:sz w:val="22"/>
          <w:szCs w:val="22"/>
        </w:rPr>
        <w:t>of the</w:t>
      </w:r>
      <w:r w:rsidR="00463581" w:rsidRPr="00463581">
        <w:rPr>
          <w:rFonts w:cs="Times New Roman"/>
          <w:sz w:val="22"/>
          <w:szCs w:val="22"/>
        </w:rPr>
        <w:t xml:space="preserve"> </w:t>
      </w:r>
      <w:r w:rsidRPr="00463581">
        <w:rPr>
          <w:rFonts w:cs="Times New Roman"/>
          <w:sz w:val="22"/>
          <w:szCs w:val="22"/>
        </w:rPr>
        <w:t xml:space="preserve">Resource Potential </w:t>
      </w:r>
      <w:r w:rsidR="002A7B26" w:rsidRPr="00463581">
        <w:rPr>
          <w:rFonts w:cs="Times New Roman"/>
          <w:sz w:val="22"/>
          <w:szCs w:val="22"/>
        </w:rPr>
        <w:t>within</w:t>
      </w:r>
      <w:r w:rsidRPr="00463581">
        <w:rPr>
          <w:rFonts w:cs="Times New Roman"/>
          <w:sz w:val="22"/>
          <w:szCs w:val="22"/>
        </w:rPr>
        <w:t xml:space="preserve"> Shallow, Low Temperature Geothermal Resources of the United States for Direct Use Applications</w:t>
      </w:r>
      <w:r w:rsidR="009F13AE" w:rsidRPr="00463581">
        <w:rPr>
          <w:rFonts w:cs="Times New Roman"/>
          <w:sz w:val="22"/>
          <w:szCs w:val="22"/>
        </w:rPr>
        <w:t>.”</w:t>
      </w:r>
      <w:r w:rsidR="00487921" w:rsidRPr="00463581">
        <w:rPr>
          <w:rFonts w:cs="Times New Roman"/>
          <w:sz w:val="22"/>
          <w:szCs w:val="22"/>
        </w:rPr>
        <w:t xml:space="preserve"> </w:t>
      </w:r>
      <w:r w:rsidR="00EA6CC4">
        <w:rPr>
          <w:rFonts w:cs="Times New Roman"/>
          <w:sz w:val="22"/>
          <w:szCs w:val="22"/>
        </w:rPr>
        <w:t xml:space="preserve">Planned for Vol. 40, </w:t>
      </w:r>
      <w:r w:rsidR="00463581" w:rsidRPr="00463581">
        <w:rPr>
          <w:rFonts w:cs="Times New Roman"/>
          <w:sz w:val="22"/>
          <w:szCs w:val="22"/>
        </w:rPr>
        <w:t xml:space="preserve">GRC </w:t>
      </w:r>
      <w:r w:rsidR="00463581" w:rsidRPr="00463581">
        <w:rPr>
          <w:rFonts w:cs="Times New Roman"/>
          <w:i/>
          <w:iCs/>
          <w:sz w:val="22"/>
          <w:szCs w:val="22"/>
        </w:rPr>
        <w:t>Transactions</w:t>
      </w:r>
      <w:r w:rsidR="00EA6CC4">
        <w:rPr>
          <w:rFonts w:cs="Times New Roman"/>
          <w:sz w:val="22"/>
          <w:szCs w:val="22"/>
        </w:rPr>
        <w:t>.</w:t>
      </w:r>
    </w:p>
    <w:p w14:paraId="264B8FAB" w14:textId="77777777" w:rsidR="00664F68" w:rsidRPr="00AE52E4" w:rsidRDefault="00664F68" w:rsidP="00664F68">
      <w:pPr>
        <w:rPr>
          <w:rFonts w:cs="Times New Roman"/>
          <w:sz w:val="22"/>
          <w:szCs w:val="22"/>
        </w:rPr>
      </w:pPr>
      <w:r w:rsidRPr="00AE52E4">
        <w:rPr>
          <w:rFonts w:cs="Times New Roman"/>
          <w:sz w:val="22"/>
          <w:szCs w:val="22"/>
        </w:rPr>
        <w:t>Thorsteinsson, Hildigunnur, J. Tester, 2010. “Barriers and enablers to geothermal district heating</w:t>
      </w:r>
    </w:p>
    <w:p w14:paraId="66DB48EB" w14:textId="4328B121" w:rsidR="00664F68" w:rsidRDefault="00664F68" w:rsidP="00AE52E4">
      <w:pPr>
        <w:ind w:firstLine="720"/>
        <w:rPr>
          <w:rFonts w:cs="Times New Roman"/>
          <w:sz w:val="22"/>
          <w:szCs w:val="22"/>
        </w:rPr>
      </w:pPr>
      <w:r w:rsidRPr="00AE52E4">
        <w:rPr>
          <w:rFonts w:cs="Times New Roman"/>
          <w:sz w:val="22"/>
          <w:szCs w:val="22"/>
        </w:rPr>
        <w:t xml:space="preserve">system development in the United States.” </w:t>
      </w:r>
      <w:r w:rsidRPr="00AE52E4">
        <w:rPr>
          <w:rFonts w:cs="Times New Roman"/>
          <w:i/>
          <w:iCs/>
          <w:sz w:val="22"/>
          <w:szCs w:val="22"/>
        </w:rPr>
        <w:t>Energy Policy</w:t>
      </w:r>
      <w:r w:rsidRPr="00AE52E4">
        <w:rPr>
          <w:rFonts w:cs="Times New Roman"/>
          <w:sz w:val="22"/>
          <w:szCs w:val="22"/>
        </w:rPr>
        <w:t xml:space="preserve"> 38.2 (2010): </w:t>
      </w:r>
      <w:r w:rsidR="006C17FF" w:rsidRPr="00AE52E4">
        <w:rPr>
          <w:rFonts w:cs="Times New Roman"/>
          <w:sz w:val="22"/>
          <w:szCs w:val="22"/>
        </w:rPr>
        <w:t xml:space="preserve">p. </w:t>
      </w:r>
      <w:r w:rsidRPr="00AE52E4">
        <w:rPr>
          <w:rFonts w:cs="Times New Roman"/>
          <w:sz w:val="22"/>
          <w:szCs w:val="22"/>
        </w:rPr>
        <w:t>803-813.</w:t>
      </w:r>
    </w:p>
    <w:p w14:paraId="7902C26F" w14:textId="77777777" w:rsidR="00CF09C9" w:rsidRDefault="00AB1FA9" w:rsidP="008A3C3C">
      <w:pPr>
        <w:rPr>
          <w:rFonts w:cs="Times New Roman"/>
          <w:sz w:val="22"/>
          <w:szCs w:val="22"/>
        </w:rPr>
      </w:pPr>
      <w:r w:rsidRPr="00AB1FA9">
        <w:rPr>
          <w:rFonts w:cs="Times New Roman"/>
          <w:sz w:val="22"/>
          <w:szCs w:val="22"/>
        </w:rPr>
        <w:t>U.S. Census Bureau</w:t>
      </w:r>
      <w:r w:rsidR="007E5E57">
        <w:rPr>
          <w:rFonts w:cs="Times New Roman"/>
          <w:sz w:val="22"/>
          <w:szCs w:val="22"/>
        </w:rPr>
        <w:t>, 2013.</w:t>
      </w:r>
      <w:r w:rsidRPr="00AB1FA9">
        <w:rPr>
          <w:rFonts w:cs="Times New Roman"/>
          <w:sz w:val="22"/>
          <w:szCs w:val="22"/>
        </w:rPr>
        <w:t xml:space="preserve"> American Community Survey, </w:t>
      </w:r>
      <w:r w:rsidR="007E5E57">
        <w:rPr>
          <w:rFonts w:cs="Times New Roman"/>
          <w:sz w:val="22"/>
          <w:szCs w:val="22"/>
        </w:rPr>
        <w:t xml:space="preserve">2013 County Business Patterns; </w:t>
      </w:r>
      <w:r w:rsidR="00CF09C9">
        <w:rPr>
          <w:rFonts w:cs="Times New Roman"/>
          <w:sz w:val="22"/>
          <w:szCs w:val="22"/>
        </w:rPr>
        <w:t>generated by</w:t>
      </w:r>
    </w:p>
    <w:p w14:paraId="7CF5B0EB" w14:textId="79EA169B" w:rsidR="00AB1FA9" w:rsidRPr="00AB1FA9" w:rsidRDefault="00CF09C9" w:rsidP="008A3C3C">
      <w:pPr>
        <w:ind w:left="720"/>
        <w:rPr>
          <w:rFonts w:cs="Times New Roman"/>
          <w:sz w:val="22"/>
          <w:szCs w:val="22"/>
        </w:rPr>
      </w:pPr>
      <w:r>
        <w:rPr>
          <w:rFonts w:cs="Times New Roman"/>
          <w:sz w:val="22"/>
          <w:szCs w:val="22"/>
        </w:rPr>
        <w:t>Kevin</w:t>
      </w:r>
      <w:r w:rsidR="00AB1FA9" w:rsidRPr="00AB1FA9">
        <w:rPr>
          <w:rFonts w:cs="Times New Roman"/>
          <w:sz w:val="22"/>
          <w:szCs w:val="22"/>
        </w:rPr>
        <w:t xml:space="preserve"> </w:t>
      </w:r>
      <w:r>
        <w:rPr>
          <w:rFonts w:cs="Times New Roman"/>
          <w:sz w:val="22"/>
          <w:szCs w:val="22"/>
        </w:rPr>
        <w:t>McCabe</w:t>
      </w:r>
      <w:r w:rsidR="007E5E57">
        <w:rPr>
          <w:rFonts w:cs="Times New Roman"/>
          <w:sz w:val="22"/>
          <w:szCs w:val="22"/>
        </w:rPr>
        <w:t>; using American FactFinder.</w:t>
      </w:r>
      <w:r w:rsidR="00AB1FA9" w:rsidRPr="00AB1FA9">
        <w:rPr>
          <w:rFonts w:cs="Times New Roman"/>
          <w:sz w:val="22"/>
          <w:szCs w:val="22"/>
        </w:rPr>
        <w:t xml:space="preserve"> </w:t>
      </w:r>
      <w:hyperlink r:id="rId52" w:history="1">
        <w:r w:rsidR="00AB1FA9" w:rsidRPr="00AB1FA9">
          <w:rPr>
            <w:rStyle w:val="Hyperlink"/>
            <w:rFonts w:cs="Times New Roman"/>
            <w:sz w:val="22"/>
            <w:szCs w:val="22"/>
          </w:rPr>
          <w:t>http://factfinder2.census.gov</w:t>
        </w:r>
      </w:hyperlink>
      <w:r w:rsidR="007E5E57">
        <w:rPr>
          <w:rFonts w:cs="Times New Roman"/>
          <w:sz w:val="22"/>
          <w:szCs w:val="22"/>
        </w:rPr>
        <w:t xml:space="preserve"> (accessed</w:t>
      </w:r>
      <w:r>
        <w:rPr>
          <w:rFonts w:cs="Times New Roman"/>
          <w:sz w:val="22"/>
          <w:szCs w:val="22"/>
        </w:rPr>
        <w:t xml:space="preserve"> February 22, 2016</w:t>
      </w:r>
      <w:r w:rsidR="00AB1FA9" w:rsidRPr="00AB1FA9">
        <w:rPr>
          <w:rFonts w:cs="Times New Roman"/>
          <w:sz w:val="22"/>
          <w:szCs w:val="22"/>
        </w:rPr>
        <w:t>).</w:t>
      </w:r>
    </w:p>
    <w:p w14:paraId="630ADD85" w14:textId="77777777" w:rsidR="0080138C" w:rsidRDefault="0080138C" w:rsidP="0080138C">
      <w:pPr>
        <w:rPr>
          <w:rStyle w:val="Hyperlink"/>
          <w:rFonts w:cs="Times New Roman"/>
          <w:color w:val="auto"/>
          <w:sz w:val="22"/>
          <w:szCs w:val="22"/>
          <w:u w:val="none"/>
        </w:rPr>
      </w:pPr>
      <w:r>
        <w:rPr>
          <w:rFonts w:cs="Times New Roman"/>
          <w:sz w:val="22"/>
          <w:szCs w:val="22"/>
        </w:rPr>
        <w:t xml:space="preserve">USDA, 2012. “2012 Census of Agriculture.” </w:t>
      </w:r>
      <w:hyperlink r:id="rId53" w:history="1">
        <w:r w:rsidRPr="00973C0E">
          <w:rPr>
            <w:rStyle w:val="Hyperlink"/>
            <w:rFonts w:cs="Times New Roman"/>
            <w:sz w:val="22"/>
            <w:szCs w:val="22"/>
          </w:rPr>
          <w:t>https://www.agcensus.usda.gov/Publications/2012/</w:t>
        </w:r>
      </w:hyperlink>
    </w:p>
    <w:p w14:paraId="32E11F8B" w14:textId="77777777" w:rsidR="0080138C" w:rsidRPr="008C6012" w:rsidRDefault="0080138C" w:rsidP="0080138C">
      <w:pPr>
        <w:ind w:firstLine="720"/>
        <w:rPr>
          <w:rFonts w:cs="Times New Roman"/>
          <w:sz w:val="22"/>
          <w:szCs w:val="22"/>
        </w:rPr>
      </w:pPr>
      <w:r>
        <w:rPr>
          <w:rStyle w:val="Hyperlink"/>
          <w:rFonts w:cs="Times New Roman"/>
          <w:color w:val="auto"/>
          <w:sz w:val="22"/>
          <w:szCs w:val="22"/>
          <w:u w:val="none"/>
        </w:rPr>
        <w:t>(accessed April 26, 2016).</w:t>
      </w:r>
    </w:p>
    <w:p w14:paraId="1F8614C7" w14:textId="5E4D3998" w:rsidR="00424438" w:rsidRDefault="00424438" w:rsidP="00427C94">
      <w:pPr>
        <w:rPr>
          <w:rFonts w:cs="Times New Roman"/>
          <w:sz w:val="22"/>
          <w:szCs w:val="22"/>
        </w:rPr>
      </w:pPr>
      <w:r>
        <w:rPr>
          <w:rFonts w:cs="Times New Roman"/>
          <w:sz w:val="22"/>
          <w:szCs w:val="22"/>
        </w:rPr>
        <w:t xml:space="preserve">USDA, </w:t>
      </w:r>
      <w:r w:rsidR="0080138C">
        <w:rPr>
          <w:rFonts w:cs="Times New Roman"/>
          <w:sz w:val="22"/>
          <w:szCs w:val="22"/>
        </w:rPr>
        <w:t>2013</w:t>
      </w:r>
      <w:r>
        <w:rPr>
          <w:rFonts w:cs="Times New Roman"/>
          <w:sz w:val="22"/>
          <w:szCs w:val="22"/>
        </w:rPr>
        <w:t>. “Farm Production Expenditures – 2012 Summary.”</w:t>
      </w:r>
    </w:p>
    <w:p w14:paraId="29986DD5" w14:textId="2AECBE41" w:rsidR="00424438" w:rsidRPr="008C6012" w:rsidRDefault="003C6770" w:rsidP="00487921">
      <w:pPr>
        <w:ind w:left="720"/>
        <w:rPr>
          <w:rFonts w:cs="Times New Roman"/>
          <w:sz w:val="22"/>
          <w:szCs w:val="22"/>
        </w:rPr>
      </w:pPr>
      <w:hyperlink r:id="rId54" w:history="1">
        <w:r w:rsidR="00424438" w:rsidRPr="00973C0E">
          <w:rPr>
            <w:rStyle w:val="Hyperlink"/>
            <w:rFonts w:cs="Times New Roman"/>
            <w:sz w:val="22"/>
            <w:szCs w:val="22"/>
          </w:rPr>
          <w:t>http://usda.mannlib.cornell.edu/usda/nass/FarmProdEx//2010s/2013/FarmProdEx-08-02-2013.pdf</w:t>
        </w:r>
      </w:hyperlink>
      <w:r w:rsidR="00C04E72">
        <w:rPr>
          <w:rStyle w:val="Hyperlink"/>
          <w:rFonts w:cs="Times New Roman"/>
          <w:color w:val="auto"/>
          <w:sz w:val="22"/>
          <w:szCs w:val="22"/>
          <w:u w:val="none"/>
        </w:rPr>
        <w:t xml:space="preserve"> (accessed April 18, 2016).</w:t>
      </w:r>
    </w:p>
    <w:p w14:paraId="69ED7FB7" w14:textId="77777777" w:rsidR="00424438" w:rsidRPr="00AE52E4" w:rsidRDefault="00424438" w:rsidP="00427C94">
      <w:pPr>
        <w:rPr>
          <w:rFonts w:cs="Times New Roman"/>
          <w:sz w:val="22"/>
          <w:szCs w:val="22"/>
        </w:rPr>
      </w:pPr>
    </w:p>
    <w:sectPr w:rsidR="00424438" w:rsidRPr="00AE52E4" w:rsidSect="00072B7A">
      <w:footerReference w:type="even"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F0164" w14:textId="77777777" w:rsidR="003F6106" w:rsidRDefault="003F6106" w:rsidP="00E13673">
      <w:r>
        <w:separator/>
      </w:r>
    </w:p>
  </w:endnote>
  <w:endnote w:type="continuationSeparator" w:id="0">
    <w:p w14:paraId="168DE84D" w14:textId="77777777" w:rsidR="003F6106" w:rsidRDefault="003F6106" w:rsidP="00E13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D1472" w14:textId="77777777" w:rsidR="003C6770" w:rsidRDefault="003C6770" w:rsidP="00E136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0CB9B5" w14:textId="77777777" w:rsidR="003C6770" w:rsidRDefault="003C67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48DCE" w14:textId="77777777" w:rsidR="003C6770" w:rsidRDefault="003C6770" w:rsidP="00E136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7803">
      <w:rPr>
        <w:rStyle w:val="PageNumber"/>
        <w:noProof/>
      </w:rPr>
      <w:t>23</w:t>
    </w:r>
    <w:r>
      <w:rPr>
        <w:rStyle w:val="PageNumber"/>
      </w:rPr>
      <w:fldChar w:fldCharType="end"/>
    </w:r>
  </w:p>
  <w:p w14:paraId="5CADFE60" w14:textId="77777777" w:rsidR="003C6770" w:rsidRDefault="003C67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166EC" w14:textId="77777777" w:rsidR="003F6106" w:rsidRDefault="003F6106" w:rsidP="00E13673">
      <w:r>
        <w:separator/>
      </w:r>
    </w:p>
  </w:footnote>
  <w:footnote w:type="continuationSeparator" w:id="0">
    <w:p w14:paraId="2A3135D4" w14:textId="77777777" w:rsidR="003F6106" w:rsidRDefault="003F6106" w:rsidP="00E13673">
      <w:r>
        <w:continuationSeparator/>
      </w:r>
    </w:p>
  </w:footnote>
  <w:footnote w:id="1">
    <w:p w14:paraId="7A995028" w14:textId="3219473F" w:rsidR="003C6770" w:rsidRPr="00571401" w:rsidRDefault="003C6770" w:rsidP="00C23F9D">
      <w:pPr>
        <w:pStyle w:val="CommentText"/>
        <w:rPr>
          <w:sz w:val="20"/>
        </w:rPr>
      </w:pPr>
      <w:r>
        <w:rPr>
          <w:rStyle w:val="FootnoteReference"/>
        </w:rPr>
        <w:footnoteRef/>
      </w:r>
      <w:r>
        <w:t xml:space="preserve"> </w:t>
      </w:r>
      <w:r w:rsidRPr="00571401">
        <w:rPr>
          <w:sz w:val="20"/>
        </w:rPr>
        <w:t>EIA selected certain geographic domains to allow for “geographic control of the</w:t>
      </w:r>
      <w:r>
        <w:rPr>
          <w:sz w:val="20"/>
        </w:rPr>
        <w:t xml:space="preserve"> sample allocated to the Census </w:t>
      </w:r>
      <w:r w:rsidRPr="00571401">
        <w:rPr>
          <w:sz w:val="20"/>
        </w:rPr>
        <w:t>Divisions and selected states</w:t>
      </w:r>
      <w:r>
        <w:rPr>
          <w:sz w:val="20"/>
        </w:rPr>
        <w:t>.”</w:t>
      </w:r>
      <w:r w:rsidRPr="00571401">
        <w:rPr>
          <w:sz w:val="20"/>
        </w:rPr>
        <w:t xml:space="preserve"> The individual states were chosen (as opposed to those that were grouped) based on factors such as population and climatic or geographic diversity</w:t>
      </w:r>
      <w:r>
        <w:rPr>
          <w:sz w:val="20"/>
        </w:rPr>
        <w:t xml:space="preserve">. </w:t>
      </w:r>
      <w:r w:rsidRPr="00571401">
        <w:rPr>
          <w:sz w:val="20"/>
        </w:rPr>
        <w:t xml:space="preserve">There are </w:t>
      </w:r>
      <w:r>
        <w:rPr>
          <w:sz w:val="20"/>
        </w:rPr>
        <w:t>nine</w:t>
      </w:r>
      <w:r w:rsidRPr="00571401">
        <w:rPr>
          <w:sz w:val="20"/>
        </w:rPr>
        <w:t xml:space="preserve"> total aggregates, with </w:t>
      </w:r>
      <w:r>
        <w:rPr>
          <w:sz w:val="20"/>
        </w:rPr>
        <w:t xml:space="preserve">the </w:t>
      </w:r>
      <w:r w:rsidRPr="00571401">
        <w:rPr>
          <w:sz w:val="20"/>
        </w:rPr>
        <w:t xml:space="preserve">number of states in each ranging from </w:t>
      </w:r>
      <w:r>
        <w:rPr>
          <w:sz w:val="20"/>
        </w:rPr>
        <w:t>two</w:t>
      </w:r>
      <w:r w:rsidRPr="00571401">
        <w:rPr>
          <w:sz w:val="20"/>
        </w:rPr>
        <w:t xml:space="preserve"> to </w:t>
      </w:r>
      <w:r>
        <w:rPr>
          <w:sz w:val="20"/>
        </w:rPr>
        <w:t>five</w:t>
      </w:r>
      <w:r w:rsidRPr="00571401">
        <w:rPr>
          <w:sz w:val="20"/>
        </w:rPr>
        <w:t>.</w:t>
      </w:r>
    </w:p>
    <w:p w14:paraId="66A513FA" w14:textId="77777777" w:rsidR="003C6770" w:rsidRPr="00571401" w:rsidRDefault="003C6770" w:rsidP="00C23F9D">
      <w:pPr>
        <w:pStyle w:val="FootnoteText"/>
        <w:rPr>
          <w:sz w:val="20"/>
        </w:rPr>
      </w:pPr>
    </w:p>
  </w:footnote>
  <w:footnote w:id="2">
    <w:p w14:paraId="65FC4AFD" w14:textId="13DBEE9E" w:rsidR="003C6770" w:rsidRPr="00571401" w:rsidRDefault="003C6770" w:rsidP="00C23F9D">
      <w:pPr>
        <w:pStyle w:val="FootnoteText"/>
        <w:rPr>
          <w:sz w:val="20"/>
        </w:rPr>
      </w:pPr>
      <w:r w:rsidRPr="00571401">
        <w:rPr>
          <w:rStyle w:val="FootnoteReference"/>
          <w:sz w:val="20"/>
        </w:rPr>
        <w:footnoteRef/>
      </w:r>
      <w:r w:rsidRPr="00571401">
        <w:rPr>
          <w:sz w:val="20"/>
        </w:rPr>
        <w:t xml:space="preserve"> We can safely </w:t>
      </w:r>
      <w:r w:rsidRPr="00571401">
        <w:rPr>
          <w:i/>
          <w:sz w:val="20"/>
        </w:rPr>
        <w:t>assume</w:t>
      </w:r>
      <w:r w:rsidRPr="00571401">
        <w:rPr>
          <w:sz w:val="20"/>
        </w:rPr>
        <w:t xml:space="preserve"> space and water heating in residences/commerci</w:t>
      </w:r>
      <w:r>
        <w:rPr>
          <w:sz w:val="20"/>
        </w:rPr>
        <w:t xml:space="preserve">al buildings is well under </w:t>
      </w:r>
      <w:r w:rsidRPr="00571401">
        <w:rPr>
          <w:sz w:val="20"/>
          <w:szCs w:val="20"/>
        </w:rPr>
        <w:t>150</w:t>
      </w:r>
      <w:r w:rsidRPr="00571401">
        <w:rPr>
          <w:color w:val="000000" w:themeColor="text1"/>
          <w:sz w:val="20"/>
          <w:szCs w:val="20"/>
        </w:rPr>
        <w:t>°</w:t>
      </w:r>
      <w:r w:rsidRPr="00571401">
        <w:rPr>
          <w:sz w:val="20"/>
          <w:szCs w:val="20"/>
        </w:rPr>
        <w:t>C</w:t>
      </w:r>
      <w:r w:rsidRPr="00571401">
        <w:rPr>
          <w:sz w:val="20"/>
        </w:rPr>
        <w:t>; however</w:t>
      </w:r>
      <w:r>
        <w:rPr>
          <w:sz w:val="20"/>
        </w:rPr>
        <w:t>,</w:t>
      </w:r>
      <w:r w:rsidRPr="00571401">
        <w:rPr>
          <w:sz w:val="20"/>
        </w:rPr>
        <w:t xml:space="preserve"> no single temperature represents space/water heating for an entire sector</w:t>
      </w:r>
      <w:r>
        <w:rPr>
          <w:sz w:val="20"/>
        </w:rPr>
        <w:t>.</w:t>
      </w:r>
    </w:p>
  </w:footnote>
  <w:footnote w:id="3">
    <w:p w14:paraId="08FF3A5E" w14:textId="035F2D15" w:rsidR="003C6770" w:rsidRDefault="003C6770">
      <w:pPr>
        <w:pStyle w:val="FootnoteText"/>
      </w:pPr>
      <w:r>
        <w:rPr>
          <w:rStyle w:val="FootnoteReference"/>
        </w:rPr>
        <w:footnoteRef/>
      </w:r>
      <w:r>
        <w:t xml:space="preserve"> </w:t>
      </w:r>
      <w:r w:rsidRPr="00427C94">
        <w:rPr>
          <w:sz w:val="20"/>
        </w:rPr>
        <w:t xml:space="preserve">NAICS is the North American Industry Classification System. It is the standard used by </w:t>
      </w:r>
      <w:r>
        <w:rPr>
          <w:sz w:val="20"/>
        </w:rPr>
        <w:t>f</w:t>
      </w:r>
      <w:r w:rsidRPr="00427C94">
        <w:rPr>
          <w:sz w:val="20"/>
        </w:rPr>
        <w:t>ederal statistical agencies in classifying business establishments. These classifications are reported at varying levels of detail from 3- to 6-digit codes that describe sub-industries in detail.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DC7DBE"/>
    <w:multiLevelType w:val="multilevel"/>
    <w:tmpl w:val="6694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E134F2"/>
    <w:multiLevelType w:val="hybridMultilevel"/>
    <w:tmpl w:val="EE66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oNotTrackMoves/>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994"/>
    <w:rsid w:val="00000FF2"/>
    <w:rsid w:val="00001393"/>
    <w:rsid w:val="000016AF"/>
    <w:rsid w:val="00002943"/>
    <w:rsid w:val="00003646"/>
    <w:rsid w:val="00003BD3"/>
    <w:rsid w:val="00006767"/>
    <w:rsid w:val="00006CF6"/>
    <w:rsid w:val="00011460"/>
    <w:rsid w:val="0001371B"/>
    <w:rsid w:val="00013B58"/>
    <w:rsid w:val="0002095E"/>
    <w:rsid w:val="00021506"/>
    <w:rsid w:val="000224C3"/>
    <w:rsid w:val="00024A24"/>
    <w:rsid w:val="00026D34"/>
    <w:rsid w:val="00031506"/>
    <w:rsid w:val="00034BEB"/>
    <w:rsid w:val="0004221E"/>
    <w:rsid w:val="00044C86"/>
    <w:rsid w:val="000451ED"/>
    <w:rsid w:val="000500E1"/>
    <w:rsid w:val="0005411D"/>
    <w:rsid w:val="00055EC9"/>
    <w:rsid w:val="00056FDA"/>
    <w:rsid w:val="00060950"/>
    <w:rsid w:val="0006113B"/>
    <w:rsid w:val="000678B9"/>
    <w:rsid w:val="00070B60"/>
    <w:rsid w:val="00072454"/>
    <w:rsid w:val="00072B7A"/>
    <w:rsid w:val="00072E2C"/>
    <w:rsid w:val="00080365"/>
    <w:rsid w:val="00083788"/>
    <w:rsid w:val="00085BBF"/>
    <w:rsid w:val="000932F0"/>
    <w:rsid w:val="00094A0B"/>
    <w:rsid w:val="00095F4F"/>
    <w:rsid w:val="000967B4"/>
    <w:rsid w:val="000A1F10"/>
    <w:rsid w:val="000B17A1"/>
    <w:rsid w:val="000B259E"/>
    <w:rsid w:val="000B3E45"/>
    <w:rsid w:val="000B444B"/>
    <w:rsid w:val="000B53B7"/>
    <w:rsid w:val="000C1F75"/>
    <w:rsid w:val="000C35DD"/>
    <w:rsid w:val="000D28C3"/>
    <w:rsid w:val="000E586C"/>
    <w:rsid w:val="000F0539"/>
    <w:rsid w:val="000F1D4A"/>
    <w:rsid w:val="000F25C3"/>
    <w:rsid w:val="000F3A93"/>
    <w:rsid w:val="0010104B"/>
    <w:rsid w:val="0011188E"/>
    <w:rsid w:val="00114439"/>
    <w:rsid w:val="00121D8F"/>
    <w:rsid w:val="00127BDA"/>
    <w:rsid w:val="00140C48"/>
    <w:rsid w:val="00141E76"/>
    <w:rsid w:val="0014553C"/>
    <w:rsid w:val="0015102F"/>
    <w:rsid w:val="0015592F"/>
    <w:rsid w:val="00162043"/>
    <w:rsid w:val="00165DE6"/>
    <w:rsid w:val="001718E8"/>
    <w:rsid w:val="00174573"/>
    <w:rsid w:val="001747C5"/>
    <w:rsid w:val="0017776B"/>
    <w:rsid w:val="00181579"/>
    <w:rsid w:val="00181D7E"/>
    <w:rsid w:val="00184A7C"/>
    <w:rsid w:val="001A09D6"/>
    <w:rsid w:val="001A768A"/>
    <w:rsid w:val="001A7BCF"/>
    <w:rsid w:val="001B1D9E"/>
    <w:rsid w:val="001B3DCA"/>
    <w:rsid w:val="001B66D0"/>
    <w:rsid w:val="001B6A62"/>
    <w:rsid w:val="001B6D51"/>
    <w:rsid w:val="001C0C90"/>
    <w:rsid w:val="001C7AB4"/>
    <w:rsid w:val="001D1904"/>
    <w:rsid w:val="001D1F85"/>
    <w:rsid w:val="001D74E9"/>
    <w:rsid w:val="001E09AF"/>
    <w:rsid w:val="001E1FD4"/>
    <w:rsid w:val="001E622A"/>
    <w:rsid w:val="001E753A"/>
    <w:rsid w:val="001E7E8F"/>
    <w:rsid w:val="001F1874"/>
    <w:rsid w:val="001F3066"/>
    <w:rsid w:val="00200A42"/>
    <w:rsid w:val="00201222"/>
    <w:rsid w:val="002018CF"/>
    <w:rsid w:val="0020319D"/>
    <w:rsid w:val="00204686"/>
    <w:rsid w:val="00206370"/>
    <w:rsid w:val="0021194B"/>
    <w:rsid w:val="00213004"/>
    <w:rsid w:val="0021442A"/>
    <w:rsid w:val="00215597"/>
    <w:rsid w:val="00216770"/>
    <w:rsid w:val="00216A99"/>
    <w:rsid w:val="00222842"/>
    <w:rsid w:val="00223701"/>
    <w:rsid w:val="002246B1"/>
    <w:rsid w:val="00224C17"/>
    <w:rsid w:val="0022607F"/>
    <w:rsid w:val="002272B8"/>
    <w:rsid w:val="0022753C"/>
    <w:rsid w:val="0023281B"/>
    <w:rsid w:val="00232B26"/>
    <w:rsid w:val="00233299"/>
    <w:rsid w:val="00234976"/>
    <w:rsid w:val="00234FAD"/>
    <w:rsid w:val="00242575"/>
    <w:rsid w:val="0024368C"/>
    <w:rsid w:val="00243F1A"/>
    <w:rsid w:val="00243F6A"/>
    <w:rsid w:val="00244063"/>
    <w:rsid w:val="00244186"/>
    <w:rsid w:val="00245311"/>
    <w:rsid w:val="002519A7"/>
    <w:rsid w:val="002545C0"/>
    <w:rsid w:val="00263743"/>
    <w:rsid w:val="0027126D"/>
    <w:rsid w:val="00273AF1"/>
    <w:rsid w:val="00276D04"/>
    <w:rsid w:val="00285654"/>
    <w:rsid w:val="00290737"/>
    <w:rsid w:val="002918A0"/>
    <w:rsid w:val="00293056"/>
    <w:rsid w:val="00293F51"/>
    <w:rsid w:val="00297D42"/>
    <w:rsid w:val="002A2151"/>
    <w:rsid w:val="002A3E36"/>
    <w:rsid w:val="002A3F67"/>
    <w:rsid w:val="002A4E5C"/>
    <w:rsid w:val="002A530B"/>
    <w:rsid w:val="002A5BC6"/>
    <w:rsid w:val="002A7B26"/>
    <w:rsid w:val="002B3585"/>
    <w:rsid w:val="002B5567"/>
    <w:rsid w:val="002B5614"/>
    <w:rsid w:val="002C169A"/>
    <w:rsid w:val="002D2651"/>
    <w:rsid w:val="002D2722"/>
    <w:rsid w:val="002D3DBE"/>
    <w:rsid w:val="002D6F01"/>
    <w:rsid w:val="002E325C"/>
    <w:rsid w:val="002E48C9"/>
    <w:rsid w:val="002E590F"/>
    <w:rsid w:val="002E6128"/>
    <w:rsid w:val="002E750D"/>
    <w:rsid w:val="002F1C33"/>
    <w:rsid w:val="002F3530"/>
    <w:rsid w:val="002F5EF1"/>
    <w:rsid w:val="00303FC1"/>
    <w:rsid w:val="003065C1"/>
    <w:rsid w:val="003105E0"/>
    <w:rsid w:val="00311994"/>
    <w:rsid w:val="003134BF"/>
    <w:rsid w:val="00313C30"/>
    <w:rsid w:val="003141CB"/>
    <w:rsid w:val="00316050"/>
    <w:rsid w:val="003168C8"/>
    <w:rsid w:val="00316C65"/>
    <w:rsid w:val="00320245"/>
    <w:rsid w:val="00320C73"/>
    <w:rsid w:val="00321CD9"/>
    <w:rsid w:val="00325B62"/>
    <w:rsid w:val="00326EB1"/>
    <w:rsid w:val="003303C3"/>
    <w:rsid w:val="003321B8"/>
    <w:rsid w:val="003437C9"/>
    <w:rsid w:val="00344AB3"/>
    <w:rsid w:val="00345AEA"/>
    <w:rsid w:val="00345B3B"/>
    <w:rsid w:val="00346036"/>
    <w:rsid w:val="00346C8D"/>
    <w:rsid w:val="00350710"/>
    <w:rsid w:val="003534B3"/>
    <w:rsid w:val="00355499"/>
    <w:rsid w:val="00355CB5"/>
    <w:rsid w:val="00357ED0"/>
    <w:rsid w:val="003619D5"/>
    <w:rsid w:val="00362813"/>
    <w:rsid w:val="00364E09"/>
    <w:rsid w:val="00365749"/>
    <w:rsid w:val="00367936"/>
    <w:rsid w:val="00373B00"/>
    <w:rsid w:val="00373C90"/>
    <w:rsid w:val="00374990"/>
    <w:rsid w:val="00380541"/>
    <w:rsid w:val="0038282D"/>
    <w:rsid w:val="00385C30"/>
    <w:rsid w:val="00391512"/>
    <w:rsid w:val="00393244"/>
    <w:rsid w:val="00394363"/>
    <w:rsid w:val="003A092E"/>
    <w:rsid w:val="003A59DA"/>
    <w:rsid w:val="003A6139"/>
    <w:rsid w:val="003A753C"/>
    <w:rsid w:val="003B1414"/>
    <w:rsid w:val="003B6218"/>
    <w:rsid w:val="003C2BFC"/>
    <w:rsid w:val="003C30BD"/>
    <w:rsid w:val="003C3662"/>
    <w:rsid w:val="003C630E"/>
    <w:rsid w:val="003C6770"/>
    <w:rsid w:val="003D0D87"/>
    <w:rsid w:val="003D1F2D"/>
    <w:rsid w:val="003D3CE2"/>
    <w:rsid w:val="003D4577"/>
    <w:rsid w:val="003D6531"/>
    <w:rsid w:val="003D6DE0"/>
    <w:rsid w:val="003E080A"/>
    <w:rsid w:val="003E58E2"/>
    <w:rsid w:val="003E7409"/>
    <w:rsid w:val="003F4CFD"/>
    <w:rsid w:val="003F4D5C"/>
    <w:rsid w:val="003F6106"/>
    <w:rsid w:val="003F7457"/>
    <w:rsid w:val="0040067C"/>
    <w:rsid w:val="00400CE2"/>
    <w:rsid w:val="004026C6"/>
    <w:rsid w:val="004043B2"/>
    <w:rsid w:val="00404B1C"/>
    <w:rsid w:val="004070AA"/>
    <w:rsid w:val="00416C73"/>
    <w:rsid w:val="00417523"/>
    <w:rsid w:val="0042171F"/>
    <w:rsid w:val="0042368B"/>
    <w:rsid w:val="0042385F"/>
    <w:rsid w:val="00424438"/>
    <w:rsid w:val="00427C94"/>
    <w:rsid w:val="0043018A"/>
    <w:rsid w:val="004330A5"/>
    <w:rsid w:val="0043401F"/>
    <w:rsid w:val="00434092"/>
    <w:rsid w:val="00436E6B"/>
    <w:rsid w:val="0044019C"/>
    <w:rsid w:val="00440C2E"/>
    <w:rsid w:val="0044780C"/>
    <w:rsid w:val="00450A1D"/>
    <w:rsid w:val="00451964"/>
    <w:rsid w:val="00452CF7"/>
    <w:rsid w:val="00453EC5"/>
    <w:rsid w:val="00456FAC"/>
    <w:rsid w:val="00462D31"/>
    <w:rsid w:val="00463581"/>
    <w:rsid w:val="00465306"/>
    <w:rsid w:val="00471D8F"/>
    <w:rsid w:val="00474FCF"/>
    <w:rsid w:val="004756BA"/>
    <w:rsid w:val="004825F3"/>
    <w:rsid w:val="00484063"/>
    <w:rsid w:val="004842CA"/>
    <w:rsid w:val="00486F03"/>
    <w:rsid w:val="00487921"/>
    <w:rsid w:val="00490473"/>
    <w:rsid w:val="00490C1C"/>
    <w:rsid w:val="00493AF7"/>
    <w:rsid w:val="004946E3"/>
    <w:rsid w:val="00496CC9"/>
    <w:rsid w:val="004A0C92"/>
    <w:rsid w:val="004A508D"/>
    <w:rsid w:val="004A51CA"/>
    <w:rsid w:val="004B2418"/>
    <w:rsid w:val="004B2787"/>
    <w:rsid w:val="004B2971"/>
    <w:rsid w:val="004B46F6"/>
    <w:rsid w:val="004C4AA1"/>
    <w:rsid w:val="004D2367"/>
    <w:rsid w:val="004D2F22"/>
    <w:rsid w:val="004D3128"/>
    <w:rsid w:val="004D382E"/>
    <w:rsid w:val="004D4BB7"/>
    <w:rsid w:val="004D5AE0"/>
    <w:rsid w:val="004D7331"/>
    <w:rsid w:val="004D7F93"/>
    <w:rsid w:val="004E05C6"/>
    <w:rsid w:val="004E1039"/>
    <w:rsid w:val="004E29DA"/>
    <w:rsid w:val="004E2B60"/>
    <w:rsid w:val="004E48B8"/>
    <w:rsid w:val="004E5FB7"/>
    <w:rsid w:val="004E6620"/>
    <w:rsid w:val="004F3056"/>
    <w:rsid w:val="004F4F2C"/>
    <w:rsid w:val="0050213E"/>
    <w:rsid w:val="00503637"/>
    <w:rsid w:val="00506DD3"/>
    <w:rsid w:val="00507720"/>
    <w:rsid w:val="00511B35"/>
    <w:rsid w:val="005129D6"/>
    <w:rsid w:val="005139F5"/>
    <w:rsid w:val="00517020"/>
    <w:rsid w:val="0052174B"/>
    <w:rsid w:val="00521810"/>
    <w:rsid w:val="005228A9"/>
    <w:rsid w:val="0052401C"/>
    <w:rsid w:val="00526B43"/>
    <w:rsid w:val="005323B5"/>
    <w:rsid w:val="00540267"/>
    <w:rsid w:val="00546B35"/>
    <w:rsid w:val="00554219"/>
    <w:rsid w:val="00554798"/>
    <w:rsid w:val="00555B0D"/>
    <w:rsid w:val="0056142C"/>
    <w:rsid w:val="00563903"/>
    <w:rsid w:val="00564253"/>
    <w:rsid w:val="00564299"/>
    <w:rsid w:val="00566EAA"/>
    <w:rsid w:val="005923DF"/>
    <w:rsid w:val="00594BFE"/>
    <w:rsid w:val="00597C5C"/>
    <w:rsid w:val="005A2628"/>
    <w:rsid w:val="005A3B35"/>
    <w:rsid w:val="005A6066"/>
    <w:rsid w:val="005B08EC"/>
    <w:rsid w:val="005B11A9"/>
    <w:rsid w:val="005B4E51"/>
    <w:rsid w:val="005B558F"/>
    <w:rsid w:val="005B6A34"/>
    <w:rsid w:val="005C72CA"/>
    <w:rsid w:val="005D005F"/>
    <w:rsid w:val="005D297F"/>
    <w:rsid w:val="005D2C65"/>
    <w:rsid w:val="005D3369"/>
    <w:rsid w:val="005E2A39"/>
    <w:rsid w:val="005E4C03"/>
    <w:rsid w:val="005F1C4F"/>
    <w:rsid w:val="005F64EC"/>
    <w:rsid w:val="00602147"/>
    <w:rsid w:val="00603ADB"/>
    <w:rsid w:val="00605046"/>
    <w:rsid w:val="00606F9C"/>
    <w:rsid w:val="00611D9E"/>
    <w:rsid w:val="00613B2D"/>
    <w:rsid w:val="0061447E"/>
    <w:rsid w:val="0062092D"/>
    <w:rsid w:val="006250BB"/>
    <w:rsid w:val="0063149B"/>
    <w:rsid w:val="006325EA"/>
    <w:rsid w:val="00633120"/>
    <w:rsid w:val="006360F9"/>
    <w:rsid w:val="00637CD1"/>
    <w:rsid w:val="00640E76"/>
    <w:rsid w:val="006549F5"/>
    <w:rsid w:val="00655E33"/>
    <w:rsid w:val="00657E49"/>
    <w:rsid w:val="00660B78"/>
    <w:rsid w:val="00663BF0"/>
    <w:rsid w:val="00664F68"/>
    <w:rsid w:val="00667A0B"/>
    <w:rsid w:val="00670040"/>
    <w:rsid w:val="00671543"/>
    <w:rsid w:val="006723F7"/>
    <w:rsid w:val="00674E75"/>
    <w:rsid w:val="00683057"/>
    <w:rsid w:val="0068550A"/>
    <w:rsid w:val="00691F3D"/>
    <w:rsid w:val="00694DF8"/>
    <w:rsid w:val="00695864"/>
    <w:rsid w:val="006964F4"/>
    <w:rsid w:val="006A10B6"/>
    <w:rsid w:val="006A46FD"/>
    <w:rsid w:val="006A4AA0"/>
    <w:rsid w:val="006A53C0"/>
    <w:rsid w:val="006A6A60"/>
    <w:rsid w:val="006A7645"/>
    <w:rsid w:val="006B2C6F"/>
    <w:rsid w:val="006B310D"/>
    <w:rsid w:val="006B7709"/>
    <w:rsid w:val="006C04AA"/>
    <w:rsid w:val="006C0C46"/>
    <w:rsid w:val="006C17FF"/>
    <w:rsid w:val="006C1B8B"/>
    <w:rsid w:val="006C285A"/>
    <w:rsid w:val="006C7CD5"/>
    <w:rsid w:val="006D066B"/>
    <w:rsid w:val="006D3272"/>
    <w:rsid w:val="006D5770"/>
    <w:rsid w:val="006E08DD"/>
    <w:rsid w:val="006E67DF"/>
    <w:rsid w:val="006E7411"/>
    <w:rsid w:val="006F1568"/>
    <w:rsid w:val="006F4BEE"/>
    <w:rsid w:val="0070285F"/>
    <w:rsid w:val="00704663"/>
    <w:rsid w:val="0070565B"/>
    <w:rsid w:val="007070ED"/>
    <w:rsid w:val="00711620"/>
    <w:rsid w:val="00713EAA"/>
    <w:rsid w:val="0071551B"/>
    <w:rsid w:val="007213D6"/>
    <w:rsid w:val="0072701D"/>
    <w:rsid w:val="0073431D"/>
    <w:rsid w:val="0074117C"/>
    <w:rsid w:val="007438BF"/>
    <w:rsid w:val="00744208"/>
    <w:rsid w:val="0074434E"/>
    <w:rsid w:val="0074441D"/>
    <w:rsid w:val="0075268F"/>
    <w:rsid w:val="007528CD"/>
    <w:rsid w:val="00752DAD"/>
    <w:rsid w:val="00752FA6"/>
    <w:rsid w:val="00754453"/>
    <w:rsid w:val="00755C1A"/>
    <w:rsid w:val="0076164D"/>
    <w:rsid w:val="007621A4"/>
    <w:rsid w:val="00770764"/>
    <w:rsid w:val="00770AB2"/>
    <w:rsid w:val="00772722"/>
    <w:rsid w:val="0077360B"/>
    <w:rsid w:val="007776A8"/>
    <w:rsid w:val="00782333"/>
    <w:rsid w:val="00783AD3"/>
    <w:rsid w:val="007857F4"/>
    <w:rsid w:val="007953AD"/>
    <w:rsid w:val="007958AE"/>
    <w:rsid w:val="00797251"/>
    <w:rsid w:val="007A06E3"/>
    <w:rsid w:val="007A20E9"/>
    <w:rsid w:val="007A2C8B"/>
    <w:rsid w:val="007A3654"/>
    <w:rsid w:val="007A3BDE"/>
    <w:rsid w:val="007B206F"/>
    <w:rsid w:val="007B7B05"/>
    <w:rsid w:val="007C45DE"/>
    <w:rsid w:val="007C5459"/>
    <w:rsid w:val="007C5772"/>
    <w:rsid w:val="007D0400"/>
    <w:rsid w:val="007D053C"/>
    <w:rsid w:val="007D3C14"/>
    <w:rsid w:val="007D6ACA"/>
    <w:rsid w:val="007D7D21"/>
    <w:rsid w:val="007E0FD0"/>
    <w:rsid w:val="007E4FD2"/>
    <w:rsid w:val="007E5A55"/>
    <w:rsid w:val="007E5E57"/>
    <w:rsid w:val="007F5C69"/>
    <w:rsid w:val="0080138C"/>
    <w:rsid w:val="0080173D"/>
    <w:rsid w:val="00805D54"/>
    <w:rsid w:val="00806FB4"/>
    <w:rsid w:val="0081151A"/>
    <w:rsid w:val="00814606"/>
    <w:rsid w:val="00815B8B"/>
    <w:rsid w:val="00820B5E"/>
    <w:rsid w:val="0082152B"/>
    <w:rsid w:val="008275C2"/>
    <w:rsid w:val="008308A3"/>
    <w:rsid w:val="00831E01"/>
    <w:rsid w:val="0084064A"/>
    <w:rsid w:val="00843777"/>
    <w:rsid w:val="0084474E"/>
    <w:rsid w:val="00847242"/>
    <w:rsid w:val="0085187A"/>
    <w:rsid w:val="008621B1"/>
    <w:rsid w:val="00862941"/>
    <w:rsid w:val="00863592"/>
    <w:rsid w:val="00863E59"/>
    <w:rsid w:val="00870E98"/>
    <w:rsid w:val="008809DA"/>
    <w:rsid w:val="00883E9F"/>
    <w:rsid w:val="00890E55"/>
    <w:rsid w:val="00892C7F"/>
    <w:rsid w:val="00895631"/>
    <w:rsid w:val="008970D2"/>
    <w:rsid w:val="008977B2"/>
    <w:rsid w:val="008A0ABE"/>
    <w:rsid w:val="008A2C22"/>
    <w:rsid w:val="008A3C3C"/>
    <w:rsid w:val="008A5A6B"/>
    <w:rsid w:val="008A7034"/>
    <w:rsid w:val="008B1078"/>
    <w:rsid w:val="008B271C"/>
    <w:rsid w:val="008B6334"/>
    <w:rsid w:val="008B7DA2"/>
    <w:rsid w:val="008C14E2"/>
    <w:rsid w:val="008C6012"/>
    <w:rsid w:val="008D0717"/>
    <w:rsid w:val="008D3E19"/>
    <w:rsid w:val="008D44B6"/>
    <w:rsid w:val="008D6139"/>
    <w:rsid w:val="008E20B1"/>
    <w:rsid w:val="008F7D6F"/>
    <w:rsid w:val="00900764"/>
    <w:rsid w:val="00904E91"/>
    <w:rsid w:val="00907026"/>
    <w:rsid w:val="00914114"/>
    <w:rsid w:val="00915A5B"/>
    <w:rsid w:val="009168FE"/>
    <w:rsid w:val="009216EA"/>
    <w:rsid w:val="00921BB6"/>
    <w:rsid w:val="00925187"/>
    <w:rsid w:val="009437D2"/>
    <w:rsid w:val="0094436D"/>
    <w:rsid w:val="00947ACE"/>
    <w:rsid w:val="0095373E"/>
    <w:rsid w:val="0097498A"/>
    <w:rsid w:val="009775E9"/>
    <w:rsid w:val="00981544"/>
    <w:rsid w:val="009842B0"/>
    <w:rsid w:val="009847C5"/>
    <w:rsid w:val="00995BF9"/>
    <w:rsid w:val="00995DF9"/>
    <w:rsid w:val="009A0F2A"/>
    <w:rsid w:val="009A39AB"/>
    <w:rsid w:val="009A4A00"/>
    <w:rsid w:val="009A6980"/>
    <w:rsid w:val="009A79D1"/>
    <w:rsid w:val="009B0EF2"/>
    <w:rsid w:val="009B35C2"/>
    <w:rsid w:val="009B57DB"/>
    <w:rsid w:val="009B60D6"/>
    <w:rsid w:val="009C1946"/>
    <w:rsid w:val="009C264F"/>
    <w:rsid w:val="009C2E09"/>
    <w:rsid w:val="009C3D10"/>
    <w:rsid w:val="009D64EA"/>
    <w:rsid w:val="009D7809"/>
    <w:rsid w:val="009E0684"/>
    <w:rsid w:val="009E0AAE"/>
    <w:rsid w:val="009E1030"/>
    <w:rsid w:val="009E1F9C"/>
    <w:rsid w:val="009E3E97"/>
    <w:rsid w:val="009E4069"/>
    <w:rsid w:val="009E669B"/>
    <w:rsid w:val="009E71F4"/>
    <w:rsid w:val="009E7636"/>
    <w:rsid w:val="009F13AE"/>
    <w:rsid w:val="009F1EC3"/>
    <w:rsid w:val="009F29D1"/>
    <w:rsid w:val="009F4A6B"/>
    <w:rsid w:val="009F7748"/>
    <w:rsid w:val="00A01CEA"/>
    <w:rsid w:val="00A031D1"/>
    <w:rsid w:val="00A0579D"/>
    <w:rsid w:val="00A05C9C"/>
    <w:rsid w:val="00A11C6A"/>
    <w:rsid w:val="00A12330"/>
    <w:rsid w:val="00A135CA"/>
    <w:rsid w:val="00A1408A"/>
    <w:rsid w:val="00A143CF"/>
    <w:rsid w:val="00A14AED"/>
    <w:rsid w:val="00A15614"/>
    <w:rsid w:val="00A15D31"/>
    <w:rsid w:val="00A16E17"/>
    <w:rsid w:val="00A20CFC"/>
    <w:rsid w:val="00A31DC3"/>
    <w:rsid w:val="00A35A34"/>
    <w:rsid w:val="00A45B3E"/>
    <w:rsid w:val="00A45B97"/>
    <w:rsid w:val="00A46A39"/>
    <w:rsid w:val="00A4779B"/>
    <w:rsid w:val="00A52239"/>
    <w:rsid w:val="00A5520E"/>
    <w:rsid w:val="00A56576"/>
    <w:rsid w:val="00A65173"/>
    <w:rsid w:val="00A717B3"/>
    <w:rsid w:val="00A74146"/>
    <w:rsid w:val="00A742F4"/>
    <w:rsid w:val="00A744A5"/>
    <w:rsid w:val="00A755D1"/>
    <w:rsid w:val="00A77B26"/>
    <w:rsid w:val="00A808BB"/>
    <w:rsid w:val="00A84C9C"/>
    <w:rsid w:val="00A8790C"/>
    <w:rsid w:val="00A90F40"/>
    <w:rsid w:val="00A928A7"/>
    <w:rsid w:val="00AA0AC3"/>
    <w:rsid w:val="00AA34B1"/>
    <w:rsid w:val="00AA48FD"/>
    <w:rsid w:val="00AA7E56"/>
    <w:rsid w:val="00AB1FA9"/>
    <w:rsid w:val="00AB2372"/>
    <w:rsid w:val="00AB2957"/>
    <w:rsid w:val="00AB3270"/>
    <w:rsid w:val="00AB7803"/>
    <w:rsid w:val="00AC387B"/>
    <w:rsid w:val="00AC388A"/>
    <w:rsid w:val="00AC6096"/>
    <w:rsid w:val="00AD072A"/>
    <w:rsid w:val="00AD14B0"/>
    <w:rsid w:val="00AD1E97"/>
    <w:rsid w:val="00AD68C1"/>
    <w:rsid w:val="00AE25DD"/>
    <w:rsid w:val="00AE52E4"/>
    <w:rsid w:val="00AE570C"/>
    <w:rsid w:val="00AE7BCA"/>
    <w:rsid w:val="00AF06EA"/>
    <w:rsid w:val="00AF3531"/>
    <w:rsid w:val="00B000FB"/>
    <w:rsid w:val="00B00770"/>
    <w:rsid w:val="00B03F1A"/>
    <w:rsid w:val="00B100FF"/>
    <w:rsid w:val="00B128DC"/>
    <w:rsid w:val="00B12953"/>
    <w:rsid w:val="00B212E8"/>
    <w:rsid w:val="00B23366"/>
    <w:rsid w:val="00B23C02"/>
    <w:rsid w:val="00B2648E"/>
    <w:rsid w:val="00B30A24"/>
    <w:rsid w:val="00B327C5"/>
    <w:rsid w:val="00B364A5"/>
    <w:rsid w:val="00B56916"/>
    <w:rsid w:val="00B62BAE"/>
    <w:rsid w:val="00B67ABF"/>
    <w:rsid w:val="00B67D60"/>
    <w:rsid w:val="00B76366"/>
    <w:rsid w:val="00B820E3"/>
    <w:rsid w:val="00B82607"/>
    <w:rsid w:val="00B857DA"/>
    <w:rsid w:val="00B85D9C"/>
    <w:rsid w:val="00B863D8"/>
    <w:rsid w:val="00B91DA4"/>
    <w:rsid w:val="00BA0794"/>
    <w:rsid w:val="00BA1DAE"/>
    <w:rsid w:val="00BA2625"/>
    <w:rsid w:val="00BA41E4"/>
    <w:rsid w:val="00BA6FB6"/>
    <w:rsid w:val="00BB294A"/>
    <w:rsid w:val="00BB453D"/>
    <w:rsid w:val="00BC4F4B"/>
    <w:rsid w:val="00BC63DD"/>
    <w:rsid w:val="00BC6FE9"/>
    <w:rsid w:val="00BC7746"/>
    <w:rsid w:val="00BD6107"/>
    <w:rsid w:val="00BD78E9"/>
    <w:rsid w:val="00BE0FFF"/>
    <w:rsid w:val="00BE3C0C"/>
    <w:rsid w:val="00BE5809"/>
    <w:rsid w:val="00BE7B70"/>
    <w:rsid w:val="00BF13F4"/>
    <w:rsid w:val="00BF1697"/>
    <w:rsid w:val="00BF4465"/>
    <w:rsid w:val="00BF452A"/>
    <w:rsid w:val="00BF7CCF"/>
    <w:rsid w:val="00BF7D24"/>
    <w:rsid w:val="00C04E72"/>
    <w:rsid w:val="00C0581B"/>
    <w:rsid w:val="00C0721D"/>
    <w:rsid w:val="00C07EE2"/>
    <w:rsid w:val="00C101E1"/>
    <w:rsid w:val="00C128B6"/>
    <w:rsid w:val="00C12A0C"/>
    <w:rsid w:val="00C12BB0"/>
    <w:rsid w:val="00C131BD"/>
    <w:rsid w:val="00C15C07"/>
    <w:rsid w:val="00C16224"/>
    <w:rsid w:val="00C23F9D"/>
    <w:rsid w:val="00C2610D"/>
    <w:rsid w:val="00C318D0"/>
    <w:rsid w:val="00C338F3"/>
    <w:rsid w:val="00C33EB3"/>
    <w:rsid w:val="00C35180"/>
    <w:rsid w:val="00C425AF"/>
    <w:rsid w:val="00C42E67"/>
    <w:rsid w:val="00C45B7D"/>
    <w:rsid w:val="00C45FB9"/>
    <w:rsid w:val="00C52BF3"/>
    <w:rsid w:val="00C56AA1"/>
    <w:rsid w:val="00C60601"/>
    <w:rsid w:val="00C612A0"/>
    <w:rsid w:val="00C63360"/>
    <w:rsid w:val="00C64D54"/>
    <w:rsid w:val="00C67363"/>
    <w:rsid w:val="00C673FD"/>
    <w:rsid w:val="00C71570"/>
    <w:rsid w:val="00C72BEF"/>
    <w:rsid w:val="00C813AD"/>
    <w:rsid w:val="00C82FE3"/>
    <w:rsid w:val="00C845F8"/>
    <w:rsid w:val="00C84D26"/>
    <w:rsid w:val="00C85963"/>
    <w:rsid w:val="00C86458"/>
    <w:rsid w:val="00C90544"/>
    <w:rsid w:val="00C90B4C"/>
    <w:rsid w:val="00C929B3"/>
    <w:rsid w:val="00C95F10"/>
    <w:rsid w:val="00CA270A"/>
    <w:rsid w:val="00CA299A"/>
    <w:rsid w:val="00CA49A1"/>
    <w:rsid w:val="00CA6E68"/>
    <w:rsid w:val="00CB1F47"/>
    <w:rsid w:val="00CB2CEC"/>
    <w:rsid w:val="00CB5AE8"/>
    <w:rsid w:val="00CB7DD3"/>
    <w:rsid w:val="00CC0A14"/>
    <w:rsid w:val="00CC10DC"/>
    <w:rsid w:val="00CC4906"/>
    <w:rsid w:val="00CD4152"/>
    <w:rsid w:val="00CE33A6"/>
    <w:rsid w:val="00CE3BD2"/>
    <w:rsid w:val="00CF09C9"/>
    <w:rsid w:val="00CF1D8B"/>
    <w:rsid w:val="00CF2D9E"/>
    <w:rsid w:val="00CF522C"/>
    <w:rsid w:val="00CF630D"/>
    <w:rsid w:val="00CF6A92"/>
    <w:rsid w:val="00D01BDD"/>
    <w:rsid w:val="00D04895"/>
    <w:rsid w:val="00D05313"/>
    <w:rsid w:val="00D066E7"/>
    <w:rsid w:val="00D07F04"/>
    <w:rsid w:val="00D10947"/>
    <w:rsid w:val="00D12394"/>
    <w:rsid w:val="00D16D34"/>
    <w:rsid w:val="00D21F6D"/>
    <w:rsid w:val="00D270B2"/>
    <w:rsid w:val="00D33677"/>
    <w:rsid w:val="00D3697A"/>
    <w:rsid w:val="00D37246"/>
    <w:rsid w:val="00D4214E"/>
    <w:rsid w:val="00D433B8"/>
    <w:rsid w:val="00D45F0A"/>
    <w:rsid w:val="00D47062"/>
    <w:rsid w:val="00D473E0"/>
    <w:rsid w:val="00D5000C"/>
    <w:rsid w:val="00D52E8F"/>
    <w:rsid w:val="00D56084"/>
    <w:rsid w:val="00D56A60"/>
    <w:rsid w:val="00D5724D"/>
    <w:rsid w:val="00D64476"/>
    <w:rsid w:val="00D648D4"/>
    <w:rsid w:val="00D64BB6"/>
    <w:rsid w:val="00D65116"/>
    <w:rsid w:val="00D653CA"/>
    <w:rsid w:val="00D70E68"/>
    <w:rsid w:val="00D73201"/>
    <w:rsid w:val="00D752CA"/>
    <w:rsid w:val="00D754C8"/>
    <w:rsid w:val="00D80129"/>
    <w:rsid w:val="00D83431"/>
    <w:rsid w:val="00D837FD"/>
    <w:rsid w:val="00D86C8C"/>
    <w:rsid w:val="00D95BDD"/>
    <w:rsid w:val="00DA09F3"/>
    <w:rsid w:val="00DA3809"/>
    <w:rsid w:val="00DB11C0"/>
    <w:rsid w:val="00DB1B4C"/>
    <w:rsid w:val="00DB416B"/>
    <w:rsid w:val="00DB41EA"/>
    <w:rsid w:val="00DB4570"/>
    <w:rsid w:val="00DB615E"/>
    <w:rsid w:val="00DC1897"/>
    <w:rsid w:val="00DC2821"/>
    <w:rsid w:val="00DC3E45"/>
    <w:rsid w:val="00DD04FA"/>
    <w:rsid w:val="00DD3412"/>
    <w:rsid w:val="00DD5FF0"/>
    <w:rsid w:val="00DE3771"/>
    <w:rsid w:val="00DF1EA0"/>
    <w:rsid w:val="00DF4556"/>
    <w:rsid w:val="00DF4C36"/>
    <w:rsid w:val="00DF668F"/>
    <w:rsid w:val="00DF7D20"/>
    <w:rsid w:val="00E100DA"/>
    <w:rsid w:val="00E11F60"/>
    <w:rsid w:val="00E13673"/>
    <w:rsid w:val="00E1654D"/>
    <w:rsid w:val="00E17299"/>
    <w:rsid w:val="00E30344"/>
    <w:rsid w:val="00E319FA"/>
    <w:rsid w:val="00E32592"/>
    <w:rsid w:val="00E36F81"/>
    <w:rsid w:val="00E404CD"/>
    <w:rsid w:val="00E43CD8"/>
    <w:rsid w:val="00E47CA3"/>
    <w:rsid w:val="00E50927"/>
    <w:rsid w:val="00E510E7"/>
    <w:rsid w:val="00E605E1"/>
    <w:rsid w:val="00E60F58"/>
    <w:rsid w:val="00E615AC"/>
    <w:rsid w:val="00E64146"/>
    <w:rsid w:val="00E65866"/>
    <w:rsid w:val="00E658F5"/>
    <w:rsid w:val="00E66E69"/>
    <w:rsid w:val="00E7050E"/>
    <w:rsid w:val="00E71E4E"/>
    <w:rsid w:val="00E7522A"/>
    <w:rsid w:val="00E77F23"/>
    <w:rsid w:val="00E824A7"/>
    <w:rsid w:val="00E83F01"/>
    <w:rsid w:val="00E8404A"/>
    <w:rsid w:val="00E86E1A"/>
    <w:rsid w:val="00E87631"/>
    <w:rsid w:val="00E918B7"/>
    <w:rsid w:val="00E91C72"/>
    <w:rsid w:val="00E95F02"/>
    <w:rsid w:val="00E977A8"/>
    <w:rsid w:val="00EA0AAC"/>
    <w:rsid w:val="00EA0C5C"/>
    <w:rsid w:val="00EA2124"/>
    <w:rsid w:val="00EA2C18"/>
    <w:rsid w:val="00EA2EA6"/>
    <w:rsid w:val="00EA5D04"/>
    <w:rsid w:val="00EA67EF"/>
    <w:rsid w:val="00EA6CC4"/>
    <w:rsid w:val="00EB0503"/>
    <w:rsid w:val="00EB0A31"/>
    <w:rsid w:val="00EB28CC"/>
    <w:rsid w:val="00EB2B48"/>
    <w:rsid w:val="00EC0B2C"/>
    <w:rsid w:val="00EC2973"/>
    <w:rsid w:val="00EC56CE"/>
    <w:rsid w:val="00ED7BB5"/>
    <w:rsid w:val="00EE187E"/>
    <w:rsid w:val="00EE1EB9"/>
    <w:rsid w:val="00EE6A10"/>
    <w:rsid w:val="00EF4522"/>
    <w:rsid w:val="00EF4864"/>
    <w:rsid w:val="00EF5780"/>
    <w:rsid w:val="00EF5D02"/>
    <w:rsid w:val="00F02EF1"/>
    <w:rsid w:val="00F04C6B"/>
    <w:rsid w:val="00F058EC"/>
    <w:rsid w:val="00F13218"/>
    <w:rsid w:val="00F15578"/>
    <w:rsid w:val="00F205EF"/>
    <w:rsid w:val="00F23422"/>
    <w:rsid w:val="00F24B74"/>
    <w:rsid w:val="00F2777C"/>
    <w:rsid w:val="00F317C3"/>
    <w:rsid w:val="00F31EE4"/>
    <w:rsid w:val="00F3420B"/>
    <w:rsid w:val="00F346B7"/>
    <w:rsid w:val="00F41932"/>
    <w:rsid w:val="00F41BE8"/>
    <w:rsid w:val="00F41C65"/>
    <w:rsid w:val="00F43907"/>
    <w:rsid w:val="00F44132"/>
    <w:rsid w:val="00F44592"/>
    <w:rsid w:val="00F47F18"/>
    <w:rsid w:val="00F50516"/>
    <w:rsid w:val="00F54999"/>
    <w:rsid w:val="00F5567E"/>
    <w:rsid w:val="00F6554B"/>
    <w:rsid w:val="00F656BA"/>
    <w:rsid w:val="00F716AB"/>
    <w:rsid w:val="00F723B6"/>
    <w:rsid w:val="00F73D2F"/>
    <w:rsid w:val="00F75435"/>
    <w:rsid w:val="00F76A93"/>
    <w:rsid w:val="00F811F7"/>
    <w:rsid w:val="00F84BC9"/>
    <w:rsid w:val="00F84E14"/>
    <w:rsid w:val="00F857CA"/>
    <w:rsid w:val="00F85EB0"/>
    <w:rsid w:val="00F8662D"/>
    <w:rsid w:val="00F908CE"/>
    <w:rsid w:val="00F91E52"/>
    <w:rsid w:val="00FA2F35"/>
    <w:rsid w:val="00FA7DED"/>
    <w:rsid w:val="00FB20CE"/>
    <w:rsid w:val="00FB2FEE"/>
    <w:rsid w:val="00FB3E83"/>
    <w:rsid w:val="00FB6ABE"/>
    <w:rsid w:val="00FC61DD"/>
    <w:rsid w:val="00FD15D1"/>
    <w:rsid w:val="00FD1725"/>
    <w:rsid w:val="00FD20DD"/>
    <w:rsid w:val="00FD3149"/>
    <w:rsid w:val="00FD4778"/>
    <w:rsid w:val="00FD6215"/>
    <w:rsid w:val="00FD7DCF"/>
    <w:rsid w:val="00FE03E9"/>
    <w:rsid w:val="00FE1148"/>
    <w:rsid w:val="00FE3245"/>
    <w:rsid w:val="00FE7730"/>
    <w:rsid w:val="00FF0E93"/>
    <w:rsid w:val="00FF59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026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0ED"/>
    <w:rPr>
      <w:rFonts w:ascii="Times New Roman" w:hAnsi="Times New Roman"/>
    </w:rPr>
  </w:style>
  <w:style w:type="paragraph" w:styleId="Heading1">
    <w:name w:val="heading 1"/>
    <w:basedOn w:val="Normal"/>
    <w:next w:val="Normal"/>
    <w:link w:val="Heading1Char"/>
    <w:uiPriority w:val="9"/>
    <w:qFormat/>
    <w:rsid w:val="00E95F0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D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1D8F"/>
    <w:rPr>
      <w:rFonts w:ascii="Lucida Grande" w:hAnsi="Lucida Grande" w:cs="Lucida Grande"/>
      <w:sz w:val="18"/>
      <w:szCs w:val="18"/>
    </w:rPr>
  </w:style>
  <w:style w:type="paragraph" w:styleId="Footer">
    <w:name w:val="footer"/>
    <w:basedOn w:val="Normal"/>
    <w:link w:val="FooterChar"/>
    <w:uiPriority w:val="99"/>
    <w:unhideWhenUsed/>
    <w:rsid w:val="00E13673"/>
    <w:pPr>
      <w:tabs>
        <w:tab w:val="center" w:pos="4320"/>
        <w:tab w:val="right" w:pos="8640"/>
      </w:tabs>
    </w:pPr>
  </w:style>
  <w:style w:type="character" w:customStyle="1" w:styleId="FooterChar">
    <w:name w:val="Footer Char"/>
    <w:basedOn w:val="DefaultParagraphFont"/>
    <w:link w:val="Footer"/>
    <w:uiPriority w:val="99"/>
    <w:rsid w:val="00E13673"/>
  </w:style>
  <w:style w:type="character" w:styleId="PageNumber">
    <w:name w:val="page number"/>
    <w:basedOn w:val="DefaultParagraphFont"/>
    <w:uiPriority w:val="99"/>
    <w:semiHidden/>
    <w:unhideWhenUsed/>
    <w:rsid w:val="00E13673"/>
  </w:style>
  <w:style w:type="table" w:styleId="TableGrid">
    <w:name w:val="Table Grid"/>
    <w:basedOn w:val="TableNormal"/>
    <w:uiPriority w:val="59"/>
    <w:rsid w:val="00C23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23F9D"/>
    <w:rPr>
      <w:rFonts w:eastAsia="Times New Roman" w:cs="Times New Roman"/>
    </w:rPr>
  </w:style>
  <w:style w:type="character" w:customStyle="1" w:styleId="CommentTextChar">
    <w:name w:val="Comment Text Char"/>
    <w:basedOn w:val="DefaultParagraphFont"/>
    <w:link w:val="CommentText"/>
    <w:uiPriority w:val="99"/>
    <w:semiHidden/>
    <w:rsid w:val="00C23F9D"/>
    <w:rPr>
      <w:rFonts w:ascii="Times New Roman" w:eastAsia="Times New Roman" w:hAnsi="Times New Roman" w:cs="Times New Roman"/>
    </w:rPr>
  </w:style>
  <w:style w:type="paragraph" w:styleId="FootnoteText">
    <w:name w:val="footnote text"/>
    <w:basedOn w:val="Normal"/>
    <w:link w:val="FootnoteTextChar"/>
    <w:uiPriority w:val="99"/>
    <w:unhideWhenUsed/>
    <w:rsid w:val="00C23F9D"/>
    <w:rPr>
      <w:rFonts w:eastAsia="Times New Roman" w:cs="Times New Roman"/>
    </w:rPr>
  </w:style>
  <w:style w:type="character" w:customStyle="1" w:styleId="FootnoteTextChar">
    <w:name w:val="Footnote Text Char"/>
    <w:basedOn w:val="DefaultParagraphFont"/>
    <w:link w:val="FootnoteText"/>
    <w:uiPriority w:val="99"/>
    <w:rsid w:val="00C23F9D"/>
    <w:rPr>
      <w:rFonts w:ascii="Times New Roman" w:eastAsia="Times New Roman" w:hAnsi="Times New Roman" w:cs="Times New Roman"/>
    </w:rPr>
  </w:style>
  <w:style w:type="character" w:styleId="FootnoteReference">
    <w:name w:val="footnote reference"/>
    <w:basedOn w:val="DefaultParagraphFont"/>
    <w:uiPriority w:val="99"/>
    <w:unhideWhenUsed/>
    <w:rsid w:val="00C23F9D"/>
    <w:rPr>
      <w:vertAlign w:val="superscript"/>
    </w:rPr>
  </w:style>
  <w:style w:type="paragraph" w:styleId="Caption">
    <w:name w:val="caption"/>
    <w:basedOn w:val="Normal"/>
    <w:next w:val="Normal"/>
    <w:uiPriority w:val="35"/>
    <w:unhideWhenUsed/>
    <w:qFormat/>
    <w:rsid w:val="00E319FA"/>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65DE6"/>
    <w:rPr>
      <w:sz w:val="18"/>
      <w:szCs w:val="18"/>
    </w:rPr>
  </w:style>
  <w:style w:type="character" w:styleId="Hyperlink">
    <w:name w:val="Hyperlink"/>
    <w:basedOn w:val="DefaultParagraphFont"/>
    <w:uiPriority w:val="99"/>
    <w:unhideWhenUsed/>
    <w:rsid w:val="00664F68"/>
    <w:rPr>
      <w:color w:val="0000FF" w:themeColor="hyperlink"/>
      <w:u w:val="single"/>
    </w:rPr>
  </w:style>
  <w:style w:type="character" w:styleId="FollowedHyperlink">
    <w:name w:val="FollowedHyperlink"/>
    <w:basedOn w:val="DefaultParagraphFont"/>
    <w:uiPriority w:val="99"/>
    <w:semiHidden/>
    <w:unhideWhenUsed/>
    <w:rsid w:val="00664F6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70764"/>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770764"/>
    <w:rPr>
      <w:rFonts w:ascii="Times New Roman" w:eastAsia="Times New Roman" w:hAnsi="Times New Roman" w:cs="Times New Roman"/>
      <w:b/>
      <w:bCs/>
      <w:sz w:val="20"/>
      <w:szCs w:val="20"/>
    </w:rPr>
  </w:style>
  <w:style w:type="paragraph" w:styleId="Revision">
    <w:name w:val="Revision"/>
    <w:hidden/>
    <w:uiPriority w:val="99"/>
    <w:semiHidden/>
    <w:rsid w:val="007E0FD0"/>
  </w:style>
  <w:style w:type="character" w:customStyle="1" w:styleId="Heading1Char">
    <w:name w:val="Heading 1 Char"/>
    <w:basedOn w:val="DefaultParagraphFont"/>
    <w:link w:val="Heading1"/>
    <w:uiPriority w:val="9"/>
    <w:rsid w:val="00E95F02"/>
    <w:rPr>
      <w:rFonts w:asciiTheme="majorHAnsi" w:eastAsiaTheme="majorEastAsia" w:hAnsiTheme="majorHAnsi" w:cstheme="majorBidi"/>
      <w:b/>
      <w:bCs/>
      <w:color w:val="345A8A" w:themeColor="accent1" w:themeShade="B5"/>
      <w:sz w:val="32"/>
      <w:szCs w:val="32"/>
    </w:rPr>
  </w:style>
  <w:style w:type="character" w:styleId="PlaceholderText">
    <w:name w:val="Placeholder Text"/>
    <w:basedOn w:val="DefaultParagraphFont"/>
    <w:uiPriority w:val="99"/>
    <w:semiHidden/>
    <w:rsid w:val="00713EAA"/>
    <w:rPr>
      <w:color w:val="808080"/>
    </w:rPr>
  </w:style>
  <w:style w:type="paragraph" w:styleId="ListParagraph">
    <w:name w:val="List Paragraph"/>
    <w:basedOn w:val="Normal"/>
    <w:uiPriority w:val="34"/>
    <w:qFormat/>
    <w:rsid w:val="00141E76"/>
    <w:pPr>
      <w:ind w:left="720"/>
      <w:contextualSpacing/>
    </w:pPr>
  </w:style>
  <w:style w:type="paragraph" w:styleId="NormalWeb">
    <w:name w:val="Normal (Web)"/>
    <w:basedOn w:val="Normal"/>
    <w:uiPriority w:val="99"/>
    <w:unhideWhenUsed/>
    <w:rsid w:val="00056FDA"/>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0ED"/>
    <w:rPr>
      <w:rFonts w:ascii="Times New Roman" w:hAnsi="Times New Roman"/>
    </w:rPr>
  </w:style>
  <w:style w:type="paragraph" w:styleId="Heading1">
    <w:name w:val="heading 1"/>
    <w:basedOn w:val="Normal"/>
    <w:next w:val="Normal"/>
    <w:link w:val="Heading1Char"/>
    <w:uiPriority w:val="9"/>
    <w:qFormat/>
    <w:rsid w:val="00E95F0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D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1D8F"/>
    <w:rPr>
      <w:rFonts w:ascii="Lucida Grande" w:hAnsi="Lucida Grande" w:cs="Lucida Grande"/>
      <w:sz w:val="18"/>
      <w:szCs w:val="18"/>
    </w:rPr>
  </w:style>
  <w:style w:type="paragraph" w:styleId="Footer">
    <w:name w:val="footer"/>
    <w:basedOn w:val="Normal"/>
    <w:link w:val="FooterChar"/>
    <w:uiPriority w:val="99"/>
    <w:unhideWhenUsed/>
    <w:rsid w:val="00E13673"/>
    <w:pPr>
      <w:tabs>
        <w:tab w:val="center" w:pos="4320"/>
        <w:tab w:val="right" w:pos="8640"/>
      </w:tabs>
    </w:pPr>
  </w:style>
  <w:style w:type="character" w:customStyle="1" w:styleId="FooterChar">
    <w:name w:val="Footer Char"/>
    <w:basedOn w:val="DefaultParagraphFont"/>
    <w:link w:val="Footer"/>
    <w:uiPriority w:val="99"/>
    <w:rsid w:val="00E13673"/>
  </w:style>
  <w:style w:type="character" w:styleId="PageNumber">
    <w:name w:val="page number"/>
    <w:basedOn w:val="DefaultParagraphFont"/>
    <w:uiPriority w:val="99"/>
    <w:semiHidden/>
    <w:unhideWhenUsed/>
    <w:rsid w:val="00E13673"/>
  </w:style>
  <w:style w:type="table" w:styleId="TableGrid">
    <w:name w:val="Table Grid"/>
    <w:basedOn w:val="TableNormal"/>
    <w:uiPriority w:val="59"/>
    <w:rsid w:val="00C23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23F9D"/>
    <w:rPr>
      <w:rFonts w:eastAsia="Times New Roman" w:cs="Times New Roman"/>
    </w:rPr>
  </w:style>
  <w:style w:type="character" w:customStyle="1" w:styleId="CommentTextChar">
    <w:name w:val="Comment Text Char"/>
    <w:basedOn w:val="DefaultParagraphFont"/>
    <w:link w:val="CommentText"/>
    <w:uiPriority w:val="99"/>
    <w:semiHidden/>
    <w:rsid w:val="00C23F9D"/>
    <w:rPr>
      <w:rFonts w:ascii="Times New Roman" w:eastAsia="Times New Roman" w:hAnsi="Times New Roman" w:cs="Times New Roman"/>
    </w:rPr>
  </w:style>
  <w:style w:type="paragraph" w:styleId="FootnoteText">
    <w:name w:val="footnote text"/>
    <w:basedOn w:val="Normal"/>
    <w:link w:val="FootnoteTextChar"/>
    <w:uiPriority w:val="99"/>
    <w:unhideWhenUsed/>
    <w:rsid w:val="00C23F9D"/>
    <w:rPr>
      <w:rFonts w:eastAsia="Times New Roman" w:cs="Times New Roman"/>
    </w:rPr>
  </w:style>
  <w:style w:type="character" w:customStyle="1" w:styleId="FootnoteTextChar">
    <w:name w:val="Footnote Text Char"/>
    <w:basedOn w:val="DefaultParagraphFont"/>
    <w:link w:val="FootnoteText"/>
    <w:uiPriority w:val="99"/>
    <w:rsid w:val="00C23F9D"/>
    <w:rPr>
      <w:rFonts w:ascii="Times New Roman" w:eastAsia="Times New Roman" w:hAnsi="Times New Roman" w:cs="Times New Roman"/>
    </w:rPr>
  </w:style>
  <w:style w:type="character" w:styleId="FootnoteReference">
    <w:name w:val="footnote reference"/>
    <w:basedOn w:val="DefaultParagraphFont"/>
    <w:uiPriority w:val="99"/>
    <w:unhideWhenUsed/>
    <w:rsid w:val="00C23F9D"/>
    <w:rPr>
      <w:vertAlign w:val="superscript"/>
    </w:rPr>
  </w:style>
  <w:style w:type="paragraph" w:styleId="Caption">
    <w:name w:val="caption"/>
    <w:basedOn w:val="Normal"/>
    <w:next w:val="Normal"/>
    <w:uiPriority w:val="35"/>
    <w:unhideWhenUsed/>
    <w:qFormat/>
    <w:rsid w:val="00E319FA"/>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65DE6"/>
    <w:rPr>
      <w:sz w:val="18"/>
      <w:szCs w:val="18"/>
    </w:rPr>
  </w:style>
  <w:style w:type="character" w:styleId="Hyperlink">
    <w:name w:val="Hyperlink"/>
    <w:basedOn w:val="DefaultParagraphFont"/>
    <w:uiPriority w:val="99"/>
    <w:unhideWhenUsed/>
    <w:rsid w:val="00664F68"/>
    <w:rPr>
      <w:color w:val="0000FF" w:themeColor="hyperlink"/>
      <w:u w:val="single"/>
    </w:rPr>
  </w:style>
  <w:style w:type="character" w:styleId="FollowedHyperlink">
    <w:name w:val="FollowedHyperlink"/>
    <w:basedOn w:val="DefaultParagraphFont"/>
    <w:uiPriority w:val="99"/>
    <w:semiHidden/>
    <w:unhideWhenUsed/>
    <w:rsid w:val="00664F6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70764"/>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770764"/>
    <w:rPr>
      <w:rFonts w:ascii="Times New Roman" w:eastAsia="Times New Roman" w:hAnsi="Times New Roman" w:cs="Times New Roman"/>
      <w:b/>
      <w:bCs/>
      <w:sz w:val="20"/>
      <w:szCs w:val="20"/>
    </w:rPr>
  </w:style>
  <w:style w:type="paragraph" w:styleId="Revision">
    <w:name w:val="Revision"/>
    <w:hidden/>
    <w:uiPriority w:val="99"/>
    <w:semiHidden/>
    <w:rsid w:val="007E0FD0"/>
  </w:style>
  <w:style w:type="character" w:customStyle="1" w:styleId="Heading1Char">
    <w:name w:val="Heading 1 Char"/>
    <w:basedOn w:val="DefaultParagraphFont"/>
    <w:link w:val="Heading1"/>
    <w:uiPriority w:val="9"/>
    <w:rsid w:val="00E95F02"/>
    <w:rPr>
      <w:rFonts w:asciiTheme="majorHAnsi" w:eastAsiaTheme="majorEastAsia" w:hAnsiTheme="majorHAnsi" w:cstheme="majorBidi"/>
      <w:b/>
      <w:bCs/>
      <w:color w:val="345A8A" w:themeColor="accent1" w:themeShade="B5"/>
      <w:sz w:val="32"/>
      <w:szCs w:val="32"/>
    </w:rPr>
  </w:style>
  <w:style w:type="character" w:styleId="PlaceholderText">
    <w:name w:val="Placeholder Text"/>
    <w:basedOn w:val="DefaultParagraphFont"/>
    <w:uiPriority w:val="99"/>
    <w:semiHidden/>
    <w:rsid w:val="00713EAA"/>
    <w:rPr>
      <w:color w:val="808080"/>
    </w:rPr>
  </w:style>
  <w:style w:type="paragraph" w:styleId="ListParagraph">
    <w:name w:val="List Paragraph"/>
    <w:basedOn w:val="Normal"/>
    <w:uiPriority w:val="34"/>
    <w:qFormat/>
    <w:rsid w:val="00141E76"/>
    <w:pPr>
      <w:ind w:left="720"/>
      <w:contextualSpacing/>
    </w:pPr>
  </w:style>
  <w:style w:type="paragraph" w:styleId="NormalWeb">
    <w:name w:val="Normal (Web)"/>
    <w:basedOn w:val="Normal"/>
    <w:uiPriority w:val="99"/>
    <w:unhideWhenUsed/>
    <w:rsid w:val="00056FDA"/>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35265">
      <w:bodyDiv w:val="1"/>
      <w:marLeft w:val="0"/>
      <w:marRight w:val="0"/>
      <w:marTop w:val="0"/>
      <w:marBottom w:val="0"/>
      <w:divBdr>
        <w:top w:val="none" w:sz="0" w:space="0" w:color="auto"/>
        <w:left w:val="none" w:sz="0" w:space="0" w:color="auto"/>
        <w:bottom w:val="none" w:sz="0" w:space="0" w:color="auto"/>
        <w:right w:val="none" w:sz="0" w:space="0" w:color="auto"/>
      </w:divBdr>
    </w:div>
    <w:div w:id="147945346">
      <w:bodyDiv w:val="1"/>
      <w:marLeft w:val="0"/>
      <w:marRight w:val="0"/>
      <w:marTop w:val="0"/>
      <w:marBottom w:val="0"/>
      <w:divBdr>
        <w:top w:val="none" w:sz="0" w:space="0" w:color="auto"/>
        <w:left w:val="none" w:sz="0" w:space="0" w:color="auto"/>
        <w:bottom w:val="none" w:sz="0" w:space="0" w:color="auto"/>
        <w:right w:val="none" w:sz="0" w:space="0" w:color="auto"/>
      </w:divBdr>
    </w:div>
    <w:div w:id="285696280">
      <w:bodyDiv w:val="1"/>
      <w:marLeft w:val="0"/>
      <w:marRight w:val="0"/>
      <w:marTop w:val="0"/>
      <w:marBottom w:val="0"/>
      <w:divBdr>
        <w:top w:val="none" w:sz="0" w:space="0" w:color="auto"/>
        <w:left w:val="none" w:sz="0" w:space="0" w:color="auto"/>
        <w:bottom w:val="none" w:sz="0" w:space="0" w:color="auto"/>
        <w:right w:val="none" w:sz="0" w:space="0" w:color="auto"/>
      </w:divBdr>
    </w:div>
    <w:div w:id="557597967">
      <w:bodyDiv w:val="1"/>
      <w:marLeft w:val="0"/>
      <w:marRight w:val="0"/>
      <w:marTop w:val="0"/>
      <w:marBottom w:val="0"/>
      <w:divBdr>
        <w:top w:val="none" w:sz="0" w:space="0" w:color="auto"/>
        <w:left w:val="none" w:sz="0" w:space="0" w:color="auto"/>
        <w:bottom w:val="none" w:sz="0" w:space="0" w:color="auto"/>
        <w:right w:val="none" w:sz="0" w:space="0" w:color="auto"/>
      </w:divBdr>
    </w:div>
    <w:div w:id="643390504">
      <w:bodyDiv w:val="1"/>
      <w:marLeft w:val="0"/>
      <w:marRight w:val="0"/>
      <w:marTop w:val="0"/>
      <w:marBottom w:val="0"/>
      <w:divBdr>
        <w:top w:val="none" w:sz="0" w:space="0" w:color="auto"/>
        <w:left w:val="none" w:sz="0" w:space="0" w:color="auto"/>
        <w:bottom w:val="none" w:sz="0" w:space="0" w:color="auto"/>
        <w:right w:val="none" w:sz="0" w:space="0" w:color="auto"/>
      </w:divBdr>
      <w:divsChild>
        <w:div w:id="317196756">
          <w:marLeft w:val="0"/>
          <w:marRight w:val="0"/>
          <w:marTop w:val="0"/>
          <w:marBottom w:val="0"/>
          <w:divBdr>
            <w:top w:val="none" w:sz="0" w:space="0" w:color="auto"/>
            <w:left w:val="none" w:sz="0" w:space="0" w:color="auto"/>
            <w:bottom w:val="none" w:sz="0" w:space="0" w:color="auto"/>
            <w:right w:val="none" w:sz="0" w:space="0" w:color="auto"/>
          </w:divBdr>
          <w:divsChild>
            <w:div w:id="305093482">
              <w:marLeft w:val="0"/>
              <w:marRight w:val="0"/>
              <w:marTop w:val="0"/>
              <w:marBottom w:val="0"/>
              <w:divBdr>
                <w:top w:val="none" w:sz="0" w:space="0" w:color="auto"/>
                <w:left w:val="none" w:sz="0" w:space="0" w:color="auto"/>
                <w:bottom w:val="none" w:sz="0" w:space="0" w:color="auto"/>
                <w:right w:val="none" w:sz="0" w:space="0" w:color="auto"/>
              </w:divBdr>
              <w:divsChild>
                <w:div w:id="16402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64882">
      <w:bodyDiv w:val="1"/>
      <w:marLeft w:val="0"/>
      <w:marRight w:val="0"/>
      <w:marTop w:val="0"/>
      <w:marBottom w:val="0"/>
      <w:divBdr>
        <w:top w:val="none" w:sz="0" w:space="0" w:color="auto"/>
        <w:left w:val="none" w:sz="0" w:space="0" w:color="auto"/>
        <w:bottom w:val="none" w:sz="0" w:space="0" w:color="auto"/>
        <w:right w:val="none" w:sz="0" w:space="0" w:color="auto"/>
      </w:divBdr>
    </w:div>
    <w:div w:id="701395598">
      <w:bodyDiv w:val="1"/>
      <w:marLeft w:val="0"/>
      <w:marRight w:val="0"/>
      <w:marTop w:val="0"/>
      <w:marBottom w:val="0"/>
      <w:divBdr>
        <w:top w:val="none" w:sz="0" w:space="0" w:color="auto"/>
        <w:left w:val="none" w:sz="0" w:space="0" w:color="auto"/>
        <w:bottom w:val="none" w:sz="0" w:space="0" w:color="auto"/>
        <w:right w:val="none" w:sz="0" w:space="0" w:color="auto"/>
      </w:divBdr>
    </w:div>
    <w:div w:id="798956196">
      <w:bodyDiv w:val="1"/>
      <w:marLeft w:val="0"/>
      <w:marRight w:val="0"/>
      <w:marTop w:val="0"/>
      <w:marBottom w:val="0"/>
      <w:divBdr>
        <w:top w:val="none" w:sz="0" w:space="0" w:color="auto"/>
        <w:left w:val="none" w:sz="0" w:space="0" w:color="auto"/>
        <w:bottom w:val="none" w:sz="0" w:space="0" w:color="auto"/>
        <w:right w:val="none" w:sz="0" w:space="0" w:color="auto"/>
      </w:divBdr>
    </w:div>
    <w:div w:id="983319874">
      <w:bodyDiv w:val="1"/>
      <w:marLeft w:val="0"/>
      <w:marRight w:val="0"/>
      <w:marTop w:val="0"/>
      <w:marBottom w:val="0"/>
      <w:divBdr>
        <w:top w:val="none" w:sz="0" w:space="0" w:color="auto"/>
        <w:left w:val="none" w:sz="0" w:space="0" w:color="auto"/>
        <w:bottom w:val="none" w:sz="0" w:space="0" w:color="auto"/>
        <w:right w:val="none" w:sz="0" w:space="0" w:color="auto"/>
      </w:divBdr>
    </w:div>
    <w:div w:id="1135299659">
      <w:bodyDiv w:val="1"/>
      <w:marLeft w:val="0"/>
      <w:marRight w:val="0"/>
      <w:marTop w:val="0"/>
      <w:marBottom w:val="0"/>
      <w:divBdr>
        <w:top w:val="none" w:sz="0" w:space="0" w:color="auto"/>
        <w:left w:val="none" w:sz="0" w:space="0" w:color="auto"/>
        <w:bottom w:val="none" w:sz="0" w:space="0" w:color="auto"/>
        <w:right w:val="none" w:sz="0" w:space="0" w:color="auto"/>
      </w:divBdr>
    </w:div>
    <w:div w:id="1178276119">
      <w:bodyDiv w:val="1"/>
      <w:marLeft w:val="0"/>
      <w:marRight w:val="0"/>
      <w:marTop w:val="0"/>
      <w:marBottom w:val="0"/>
      <w:divBdr>
        <w:top w:val="none" w:sz="0" w:space="0" w:color="auto"/>
        <w:left w:val="none" w:sz="0" w:space="0" w:color="auto"/>
        <w:bottom w:val="none" w:sz="0" w:space="0" w:color="auto"/>
        <w:right w:val="none" w:sz="0" w:space="0" w:color="auto"/>
      </w:divBdr>
    </w:div>
    <w:div w:id="1255632552">
      <w:bodyDiv w:val="1"/>
      <w:marLeft w:val="0"/>
      <w:marRight w:val="0"/>
      <w:marTop w:val="0"/>
      <w:marBottom w:val="0"/>
      <w:divBdr>
        <w:top w:val="none" w:sz="0" w:space="0" w:color="auto"/>
        <w:left w:val="none" w:sz="0" w:space="0" w:color="auto"/>
        <w:bottom w:val="none" w:sz="0" w:space="0" w:color="auto"/>
        <w:right w:val="none" w:sz="0" w:space="0" w:color="auto"/>
      </w:divBdr>
    </w:div>
    <w:div w:id="1526746182">
      <w:bodyDiv w:val="1"/>
      <w:marLeft w:val="0"/>
      <w:marRight w:val="0"/>
      <w:marTop w:val="0"/>
      <w:marBottom w:val="0"/>
      <w:divBdr>
        <w:top w:val="none" w:sz="0" w:space="0" w:color="auto"/>
        <w:left w:val="none" w:sz="0" w:space="0" w:color="auto"/>
        <w:bottom w:val="none" w:sz="0" w:space="0" w:color="auto"/>
        <w:right w:val="none" w:sz="0" w:space="0" w:color="auto"/>
      </w:divBdr>
    </w:div>
    <w:div w:id="1710689263">
      <w:bodyDiv w:val="1"/>
      <w:marLeft w:val="0"/>
      <w:marRight w:val="0"/>
      <w:marTop w:val="0"/>
      <w:marBottom w:val="0"/>
      <w:divBdr>
        <w:top w:val="none" w:sz="0" w:space="0" w:color="auto"/>
        <w:left w:val="none" w:sz="0" w:space="0" w:color="auto"/>
        <w:bottom w:val="none" w:sz="0" w:space="0" w:color="auto"/>
        <w:right w:val="none" w:sz="0" w:space="0" w:color="auto"/>
      </w:divBdr>
    </w:div>
    <w:div w:id="1781297077">
      <w:bodyDiv w:val="1"/>
      <w:marLeft w:val="0"/>
      <w:marRight w:val="0"/>
      <w:marTop w:val="0"/>
      <w:marBottom w:val="0"/>
      <w:divBdr>
        <w:top w:val="none" w:sz="0" w:space="0" w:color="auto"/>
        <w:left w:val="none" w:sz="0" w:space="0" w:color="auto"/>
        <w:bottom w:val="none" w:sz="0" w:space="0" w:color="auto"/>
        <w:right w:val="none" w:sz="0" w:space="0" w:color="auto"/>
      </w:divBdr>
    </w:div>
    <w:div w:id="1807577635">
      <w:bodyDiv w:val="1"/>
      <w:marLeft w:val="0"/>
      <w:marRight w:val="0"/>
      <w:marTop w:val="0"/>
      <w:marBottom w:val="0"/>
      <w:divBdr>
        <w:top w:val="none" w:sz="0" w:space="0" w:color="auto"/>
        <w:left w:val="none" w:sz="0" w:space="0" w:color="auto"/>
        <w:bottom w:val="none" w:sz="0" w:space="0" w:color="auto"/>
        <w:right w:val="none" w:sz="0" w:space="0" w:color="auto"/>
      </w:divBdr>
    </w:div>
    <w:div w:id="1969626358">
      <w:bodyDiv w:val="1"/>
      <w:marLeft w:val="0"/>
      <w:marRight w:val="0"/>
      <w:marTop w:val="0"/>
      <w:marBottom w:val="0"/>
      <w:divBdr>
        <w:top w:val="none" w:sz="0" w:space="0" w:color="auto"/>
        <w:left w:val="none" w:sz="0" w:space="0" w:color="auto"/>
        <w:bottom w:val="none" w:sz="0" w:space="0" w:color="auto"/>
        <w:right w:val="none" w:sz="0" w:space="0" w:color="auto"/>
      </w:divBdr>
    </w:div>
    <w:div w:id="2104451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diagramDrawing" Target="diagrams/drawing3.xml"/><Relationship Id="rId39" Type="http://schemas.openxmlformats.org/officeDocument/2006/relationships/hyperlink" Target="http://apps1.eere.energy.gov/buildings/publications/pdfs/building_america/ba_climateguide_7_1.pdf" TargetMode="External"/><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hyperlink" Target="http://www.eia.gov/consumption/commercial/data/2003/index.cfm?view=microdata" TargetMode="External"/><Relationship Id="rId47" Type="http://schemas.openxmlformats.org/officeDocument/2006/relationships/hyperlink" Target="http://www.eia.gov/petroleum/gasdiesel/" TargetMode="External"/><Relationship Id="rId50" Type="http://schemas.openxmlformats.org/officeDocument/2006/relationships/hyperlink" Target="http://www.eia.gov/dnav/pet/pet_pri_wfr_a_EPLLPA_PWR_dpgal_w.htm"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image" Target="media/image5.png"/><Relationship Id="rId38" Type="http://schemas.openxmlformats.org/officeDocument/2006/relationships/hyperlink" Target="https://cuaes.cals.cornell.edu/sites/cuaes.cals.cornell.edu/files/shared/documents/Greenhouse-energy-consumption-2014-03-21.pdf" TargetMode="External"/><Relationship Id="rId46" Type="http://schemas.openxmlformats.org/officeDocument/2006/relationships/hyperlink" Target="https://www.eia.gov/todayinenergy/detail.cfm?id=18431" TargetMode="Externa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QuickStyle" Target="diagrams/quickStyle4.xml"/><Relationship Id="rId41" Type="http://schemas.openxmlformats.org/officeDocument/2006/relationships/hyperlink" Target="http://energy.gov/eere/geothermal/geothermal-vision-study" TargetMode="External"/><Relationship Id="rId54" Type="http://schemas.openxmlformats.org/officeDocument/2006/relationships/hyperlink" Target="http://usda.mannlib.cornell.edu/usda/nass/FarmProdEx//2010s/2013/FarmProdEx-08-02-201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image" Target="media/image4.emf"/><Relationship Id="rId37" Type="http://schemas.openxmlformats.org/officeDocument/2006/relationships/hyperlink" Target="http://www.actonenergy.com/portals/0/business/forms/aquaponics-handout.pdf" TargetMode="External"/><Relationship Id="rId40" Type="http://schemas.openxmlformats.org/officeDocument/2006/relationships/hyperlink" Target="http://www.afdc.energy.gov/fuels/fuel_comparison_chart.pdf" TargetMode="External"/><Relationship Id="rId45" Type="http://schemas.openxmlformats.org/officeDocument/2006/relationships/hyperlink" Target="http://www.eia.gov/consumption/commercial/reports/2012/energyusage/index.cfm" TargetMode="External"/><Relationship Id="rId53" Type="http://schemas.openxmlformats.org/officeDocument/2006/relationships/hyperlink" Target="https://www.agcensus.usda.gov/Publications/2012/" TargetMode="External"/><Relationship Id="rId58"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8.png"/><Relationship Id="rId49" Type="http://schemas.openxmlformats.org/officeDocument/2006/relationships/hyperlink" Target="http://www.eia.gov/dnav/ng/hist/n3035us3M.htm"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Colors" Target="diagrams/colors2.xml"/><Relationship Id="rId31" Type="http://schemas.microsoft.com/office/2007/relationships/diagramDrawing" Target="diagrams/drawing4.xml"/><Relationship Id="rId44" Type="http://schemas.openxmlformats.org/officeDocument/2006/relationships/hyperlink" Target="http://www.eia.gov/consumption/manufacturing/" TargetMode="External"/><Relationship Id="rId52" Type="http://schemas.openxmlformats.org/officeDocument/2006/relationships/hyperlink" Target="http://factfinder2.census.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7.png"/><Relationship Id="rId43" Type="http://schemas.openxmlformats.org/officeDocument/2006/relationships/hyperlink" Target="http://www.eia.gov/consumption/residential/" TargetMode="External"/><Relationship Id="rId48" Type="http://schemas.openxmlformats.org/officeDocument/2006/relationships/hyperlink" Target="http://www.eia.gov/electricity/annual/xls/epa_02_04.xlsx"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fema.gov/media-library/assets/documents/16975"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E7C1D1-47AD-FC4A-9CB0-01EA37717B33}" type="doc">
      <dgm:prSet loTypeId="urn:microsoft.com/office/officeart/2005/8/layout/hierarchy5" loCatId="" qsTypeId="urn:microsoft.com/office/officeart/2005/8/quickstyle/simple4" qsCatId="simple" csTypeId="urn:microsoft.com/office/officeart/2005/8/colors/accent1_2" csCatId="accent1" phldr="1"/>
      <dgm:spPr/>
      <dgm:t>
        <a:bodyPr/>
        <a:lstStyle/>
        <a:p>
          <a:endParaRPr lang="en-US"/>
        </a:p>
      </dgm:t>
    </dgm:pt>
    <dgm:pt modelId="{88AD2328-03C2-0844-BF44-E88E5EA57549}">
      <dgm:prSet phldrT="[Text]" custT="1"/>
      <dgm:spPr/>
      <dgm:t>
        <a:bodyPr/>
        <a:lstStyle/>
        <a:p>
          <a:r>
            <a:rPr lang="en-US" sz="900" dirty="0" smtClean="0">
              <a:latin typeface="+mj-lt"/>
            </a:rPr>
            <a:t>Lodging</a:t>
          </a:r>
          <a:endParaRPr lang="en-US" sz="900" dirty="0">
            <a:latin typeface="+mj-lt"/>
          </a:endParaRPr>
        </a:p>
      </dgm:t>
    </dgm:pt>
    <dgm:pt modelId="{A7CF26A4-CD15-EF46-A5E7-5CF5A53CAAC4}" type="parTrans" cxnId="{5BD5151F-342D-AF4B-8917-59BCBACF932B}">
      <dgm:prSet/>
      <dgm:spPr/>
      <dgm:t>
        <a:bodyPr/>
        <a:lstStyle/>
        <a:p>
          <a:endParaRPr lang="en-US" sz="1600">
            <a:latin typeface="+mj-lt"/>
          </a:endParaRPr>
        </a:p>
      </dgm:t>
    </dgm:pt>
    <dgm:pt modelId="{53256B37-8BA7-E643-940C-A3AC8C3D10C3}" type="sibTrans" cxnId="{5BD5151F-342D-AF4B-8917-59BCBACF932B}">
      <dgm:prSet/>
      <dgm:spPr/>
      <dgm:t>
        <a:bodyPr/>
        <a:lstStyle/>
        <a:p>
          <a:endParaRPr lang="en-US" sz="1600">
            <a:latin typeface="+mj-lt"/>
          </a:endParaRPr>
        </a:p>
      </dgm:t>
    </dgm:pt>
    <dgm:pt modelId="{24A2C4E5-933F-2B4C-9720-1CAB43D36CC9}">
      <dgm:prSet phldrT="[Text]" custT="1"/>
      <dgm:spPr/>
      <dgm:t>
        <a:bodyPr/>
        <a:lstStyle/>
        <a:p>
          <a:r>
            <a:rPr lang="en-US" sz="1400" dirty="0" smtClean="0">
              <a:latin typeface="+mj-lt"/>
            </a:rPr>
            <a:t>PBA</a:t>
          </a:r>
          <a:endParaRPr lang="en-US" sz="3200" dirty="0">
            <a:latin typeface="+mj-lt"/>
          </a:endParaRPr>
        </a:p>
      </dgm:t>
    </dgm:pt>
    <dgm:pt modelId="{6D4E4CAF-06D6-E041-802E-97F8EE0B36A6}" type="parTrans" cxnId="{5B481519-318F-864D-B31E-36ADB0DD9455}">
      <dgm:prSet/>
      <dgm:spPr/>
      <dgm:t>
        <a:bodyPr/>
        <a:lstStyle/>
        <a:p>
          <a:endParaRPr lang="en-US" sz="1600">
            <a:latin typeface="+mj-lt"/>
          </a:endParaRPr>
        </a:p>
      </dgm:t>
    </dgm:pt>
    <dgm:pt modelId="{BC9545B5-0FE0-C142-BC60-88673910B322}" type="sibTrans" cxnId="{5B481519-318F-864D-B31E-36ADB0DD9455}">
      <dgm:prSet/>
      <dgm:spPr/>
      <dgm:t>
        <a:bodyPr/>
        <a:lstStyle/>
        <a:p>
          <a:endParaRPr lang="en-US" sz="1600">
            <a:latin typeface="+mj-lt"/>
          </a:endParaRPr>
        </a:p>
      </dgm:t>
    </dgm:pt>
    <dgm:pt modelId="{686EFAA8-BA34-7543-9EAF-7FDCD6D73C52}">
      <dgm:prSet phldrT="[Text]" custT="1"/>
      <dgm:spPr/>
      <dgm:t>
        <a:bodyPr/>
        <a:lstStyle/>
        <a:p>
          <a:r>
            <a:rPr lang="en-US" sz="1400" dirty="0" smtClean="0">
              <a:latin typeface="+mj-lt"/>
            </a:rPr>
            <a:t>PBA Plus</a:t>
          </a:r>
          <a:endParaRPr lang="en-US" sz="1400" dirty="0">
            <a:latin typeface="+mj-lt"/>
          </a:endParaRPr>
        </a:p>
      </dgm:t>
    </dgm:pt>
    <dgm:pt modelId="{9FD5A9F3-4C88-434E-8E4A-B09EAC9030D8}" type="parTrans" cxnId="{B1171C05-58D9-6843-B872-7C665323080F}">
      <dgm:prSet/>
      <dgm:spPr/>
      <dgm:t>
        <a:bodyPr/>
        <a:lstStyle/>
        <a:p>
          <a:endParaRPr lang="en-US" sz="1600">
            <a:latin typeface="+mj-lt"/>
          </a:endParaRPr>
        </a:p>
      </dgm:t>
    </dgm:pt>
    <dgm:pt modelId="{3A66E6CA-7982-9642-800E-3CB72F05D66F}" type="sibTrans" cxnId="{B1171C05-58D9-6843-B872-7C665323080F}">
      <dgm:prSet/>
      <dgm:spPr/>
      <dgm:t>
        <a:bodyPr/>
        <a:lstStyle/>
        <a:p>
          <a:endParaRPr lang="en-US" sz="1600">
            <a:latin typeface="+mj-lt"/>
          </a:endParaRPr>
        </a:p>
      </dgm:t>
    </dgm:pt>
    <dgm:pt modelId="{72026CFD-5588-FA45-9867-19AC69F43CC3}">
      <dgm:prSet phldrT="[Text]" custT="1"/>
      <dgm:spPr/>
      <dgm:t>
        <a:bodyPr/>
        <a:lstStyle/>
        <a:p>
          <a:r>
            <a:rPr lang="en-US" sz="900" dirty="0" smtClean="0">
              <a:latin typeface="+mj-lt"/>
            </a:rPr>
            <a:t>Dormitory/ fraternity/</a:t>
          </a:r>
          <a:br>
            <a:rPr lang="en-US" sz="900" dirty="0" smtClean="0">
              <a:latin typeface="+mj-lt"/>
            </a:rPr>
          </a:br>
          <a:r>
            <a:rPr lang="en-US" sz="900" dirty="0" smtClean="0">
              <a:latin typeface="+mj-lt"/>
            </a:rPr>
            <a:t>sorority</a:t>
          </a:r>
        </a:p>
      </dgm:t>
    </dgm:pt>
    <dgm:pt modelId="{FC599C06-085F-2442-AA2B-DF77ECB3AD13}" type="sibTrans" cxnId="{3F9F46F0-D2FA-F448-9D94-CF4C87DFF1B9}">
      <dgm:prSet/>
      <dgm:spPr/>
      <dgm:t>
        <a:bodyPr/>
        <a:lstStyle/>
        <a:p>
          <a:endParaRPr lang="en-US" sz="1600">
            <a:latin typeface="+mj-lt"/>
          </a:endParaRPr>
        </a:p>
      </dgm:t>
    </dgm:pt>
    <dgm:pt modelId="{DDA0C5CB-9121-9E41-AB21-77C7E9CABCF4}" type="parTrans" cxnId="{3F9F46F0-D2FA-F448-9D94-CF4C87DFF1B9}">
      <dgm:prSet custT="1"/>
      <dgm:spPr/>
      <dgm:t>
        <a:bodyPr/>
        <a:lstStyle/>
        <a:p>
          <a:endParaRPr lang="en-US" sz="400">
            <a:latin typeface="+mj-lt"/>
          </a:endParaRPr>
        </a:p>
      </dgm:t>
    </dgm:pt>
    <dgm:pt modelId="{50EAD253-CF2D-484E-82F4-16AB98BCCD40}">
      <dgm:prSet custT="1"/>
      <dgm:spPr/>
      <dgm:t>
        <a:bodyPr/>
        <a:lstStyle/>
        <a:p>
          <a:r>
            <a:rPr lang="en-US" sz="900" dirty="0" smtClean="0">
              <a:latin typeface="+mj-lt"/>
            </a:rPr>
            <a:t>Hotel</a:t>
          </a:r>
          <a:endParaRPr lang="en-US" sz="900" dirty="0">
            <a:latin typeface="+mj-lt"/>
          </a:endParaRPr>
        </a:p>
      </dgm:t>
    </dgm:pt>
    <dgm:pt modelId="{95286151-D215-C849-BDF3-A39924042D1C}" type="parTrans" cxnId="{62A14EC3-2E06-AF47-9DDA-3E84D7782021}">
      <dgm:prSet custT="1"/>
      <dgm:spPr/>
      <dgm:t>
        <a:bodyPr/>
        <a:lstStyle/>
        <a:p>
          <a:endParaRPr lang="en-US" sz="400">
            <a:latin typeface="+mj-lt"/>
          </a:endParaRPr>
        </a:p>
      </dgm:t>
    </dgm:pt>
    <dgm:pt modelId="{5ADE1A90-F8E5-004F-BAEE-496EA38E10EF}" type="sibTrans" cxnId="{62A14EC3-2E06-AF47-9DDA-3E84D7782021}">
      <dgm:prSet/>
      <dgm:spPr/>
      <dgm:t>
        <a:bodyPr/>
        <a:lstStyle/>
        <a:p>
          <a:endParaRPr lang="en-US" sz="1600">
            <a:latin typeface="+mj-lt"/>
          </a:endParaRPr>
        </a:p>
      </dgm:t>
    </dgm:pt>
    <dgm:pt modelId="{9C1F8687-AE46-9F4D-BD67-D8A3324098EE}">
      <dgm:prSet custT="1"/>
      <dgm:spPr/>
      <dgm:t>
        <a:bodyPr/>
        <a:lstStyle/>
        <a:p>
          <a:r>
            <a:rPr lang="en-US" sz="900" dirty="0" smtClean="0">
              <a:latin typeface="+mj-lt"/>
            </a:rPr>
            <a:t>Motel/inn</a:t>
          </a:r>
          <a:endParaRPr lang="en-US" sz="900" dirty="0">
            <a:latin typeface="+mj-lt"/>
          </a:endParaRPr>
        </a:p>
      </dgm:t>
    </dgm:pt>
    <dgm:pt modelId="{C6127519-1438-444D-A596-1971A60E5922}" type="parTrans" cxnId="{0680E960-9DBF-B648-8843-0E3875F1BA25}">
      <dgm:prSet custT="1"/>
      <dgm:spPr/>
      <dgm:t>
        <a:bodyPr/>
        <a:lstStyle/>
        <a:p>
          <a:endParaRPr lang="en-US" sz="400">
            <a:latin typeface="+mj-lt"/>
          </a:endParaRPr>
        </a:p>
      </dgm:t>
    </dgm:pt>
    <dgm:pt modelId="{4013F045-A629-E645-BB1C-A7E59B20000C}" type="sibTrans" cxnId="{0680E960-9DBF-B648-8843-0E3875F1BA25}">
      <dgm:prSet/>
      <dgm:spPr/>
      <dgm:t>
        <a:bodyPr/>
        <a:lstStyle/>
        <a:p>
          <a:endParaRPr lang="en-US" sz="1600">
            <a:latin typeface="+mj-lt"/>
          </a:endParaRPr>
        </a:p>
      </dgm:t>
    </dgm:pt>
    <dgm:pt modelId="{D8F669EB-1D13-F54E-A65E-CA03D52F5E46}">
      <dgm:prSet custT="1"/>
      <dgm:spPr/>
      <dgm:t>
        <a:bodyPr/>
        <a:lstStyle/>
        <a:p>
          <a:r>
            <a:rPr lang="en-US" sz="900" dirty="0" smtClean="0">
              <a:latin typeface="+mj-lt"/>
            </a:rPr>
            <a:t>Other</a:t>
          </a:r>
          <a:endParaRPr lang="en-US" sz="900" dirty="0">
            <a:latin typeface="+mj-lt"/>
          </a:endParaRPr>
        </a:p>
      </dgm:t>
    </dgm:pt>
    <dgm:pt modelId="{CC461852-A9D9-754C-81DB-FC6C5C59FCCF}" type="parTrans" cxnId="{F7E4B330-CFA9-EC4A-8A67-8D6BCE272ABE}">
      <dgm:prSet custT="1"/>
      <dgm:spPr/>
      <dgm:t>
        <a:bodyPr/>
        <a:lstStyle/>
        <a:p>
          <a:endParaRPr lang="en-US" sz="400">
            <a:latin typeface="+mj-lt"/>
          </a:endParaRPr>
        </a:p>
      </dgm:t>
    </dgm:pt>
    <dgm:pt modelId="{B3720231-BEA8-334D-B823-8044BBC241FA}" type="sibTrans" cxnId="{F7E4B330-CFA9-EC4A-8A67-8D6BCE272ABE}">
      <dgm:prSet/>
      <dgm:spPr/>
      <dgm:t>
        <a:bodyPr/>
        <a:lstStyle/>
        <a:p>
          <a:endParaRPr lang="en-US" sz="1600">
            <a:latin typeface="+mj-lt"/>
          </a:endParaRPr>
        </a:p>
      </dgm:t>
    </dgm:pt>
    <dgm:pt modelId="{B592BDB0-C4D0-BA4E-9D5F-D15BCFA8CD21}" type="pres">
      <dgm:prSet presAssocID="{76E7C1D1-47AD-FC4A-9CB0-01EA37717B33}" presName="mainComposite" presStyleCnt="0">
        <dgm:presLayoutVars>
          <dgm:chPref val="1"/>
          <dgm:dir/>
          <dgm:animOne val="branch"/>
          <dgm:animLvl val="lvl"/>
          <dgm:resizeHandles val="exact"/>
        </dgm:presLayoutVars>
      </dgm:prSet>
      <dgm:spPr/>
      <dgm:t>
        <a:bodyPr/>
        <a:lstStyle/>
        <a:p>
          <a:endParaRPr lang="en-US"/>
        </a:p>
      </dgm:t>
    </dgm:pt>
    <dgm:pt modelId="{D533805E-4013-4E49-93F2-200115C21D59}" type="pres">
      <dgm:prSet presAssocID="{76E7C1D1-47AD-FC4A-9CB0-01EA37717B33}" presName="hierFlow" presStyleCnt="0"/>
      <dgm:spPr/>
    </dgm:pt>
    <dgm:pt modelId="{976CF042-EF13-FE46-93AB-6A5CEA90B47F}" type="pres">
      <dgm:prSet presAssocID="{76E7C1D1-47AD-FC4A-9CB0-01EA37717B33}" presName="firstBuf" presStyleCnt="0"/>
      <dgm:spPr/>
    </dgm:pt>
    <dgm:pt modelId="{423219B4-EF44-5843-9D98-3F3F2E92651A}" type="pres">
      <dgm:prSet presAssocID="{76E7C1D1-47AD-FC4A-9CB0-01EA37717B33}" presName="hierChild1" presStyleCnt="0">
        <dgm:presLayoutVars>
          <dgm:chPref val="1"/>
          <dgm:animOne val="branch"/>
          <dgm:animLvl val="lvl"/>
        </dgm:presLayoutVars>
      </dgm:prSet>
      <dgm:spPr/>
    </dgm:pt>
    <dgm:pt modelId="{331D17AF-4B0A-F740-9C87-0BF7B9145A73}" type="pres">
      <dgm:prSet presAssocID="{88AD2328-03C2-0844-BF44-E88E5EA57549}" presName="Name17" presStyleCnt="0"/>
      <dgm:spPr/>
    </dgm:pt>
    <dgm:pt modelId="{F1B21478-79B0-0049-A3B3-8F2C481B08DF}" type="pres">
      <dgm:prSet presAssocID="{88AD2328-03C2-0844-BF44-E88E5EA57549}" presName="level1Shape" presStyleLbl="node0" presStyleIdx="0" presStyleCnt="1" custLinFactNeighborY="-23830">
        <dgm:presLayoutVars>
          <dgm:chPref val="3"/>
        </dgm:presLayoutVars>
      </dgm:prSet>
      <dgm:spPr/>
      <dgm:t>
        <a:bodyPr/>
        <a:lstStyle/>
        <a:p>
          <a:endParaRPr lang="en-US"/>
        </a:p>
      </dgm:t>
    </dgm:pt>
    <dgm:pt modelId="{E1B70313-361C-4E4D-8EAB-C50D1688EBF6}" type="pres">
      <dgm:prSet presAssocID="{88AD2328-03C2-0844-BF44-E88E5EA57549}" presName="hierChild2" presStyleCnt="0"/>
      <dgm:spPr/>
    </dgm:pt>
    <dgm:pt modelId="{D68EB364-5EED-5A47-8679-B4E3F01E1CF8}" type="pres">
      <dgm:prSet presAssocID="{DDA0C5CB-9121-9E41-AB21-77C7E9CABCF4}" presName="Name25" presStyleLbl="parChTrans1D2" presStyleIdx="0" presStyleCnt="4"/>
      <dgm:spPr/>
      <dgm:t>
        <a:bodyPr/>
        <a:lstStyle/>
        <a:p>
          <a:endParaRPr lang="en-US"/>
        </a:p>
      </dgm:t>
    </dgm:pt>
    <dgm:pt modelId="{B4BFACEC-6E70-6B46-A85D-0C9E987544BC}" type="pres">
      <dgm:prSet presAssocID="{DDA0C5CB-9121-9E41-AB21-77C7E9CABCF4}" presName="connTx" presStyleLbl="parChTrans1D2" presStyleIdx="0" presStyleCnt="4"/>
      <dgm:spPr/>
      <dgm:t>
        <a:bodyPr/>
        <a:lstStyle/>
        <a:p>
          <a:endParaRPr lang="en-US"/>
        </a:p>
      </dgm:t>
    </dgm:pt>
    <dgm:pt modelId="{EEFA4958-B87B-744E-9E17-737A078C3780}" type="pres">
      <dgm:prSet presAssocID="{72026CFD-5588-FA45-9867-19AC69F43CC3}" presName="Name30" presStyleCnt="0"/>
      <dgm:spPr/>
    </dgm:pt>
    <dgm:pt modelId="{AB9B21C0-6279-A84F-8C84-9FEFE15AF40A}" type="pres">
      <dgm:prSet presAssocID="{72026CFD-5588-FA45-9867-19AC69F43CC3}" presName="level2Shape" presStyleLbl="node2" presStyleIdx="0" presStyleCnt="4" custLinFactNeighborY="-33348"/>
      <dgm:spPr/>
      <dgm:t>
        <a:bodyPr/>
        <a:lstStyle/>
        <a:p>
          <a:endParaRPr lang="en-US"/>
        </a:p>
      </dgm:t>
    </dgm:pt>
    <dgm:pt modelId="{DDA1E61B-AAC5-B644-9091-272217013E06}" type="pres">
      <dgm:prSet presAssocID="{72026CFD-5588-FA45-9867-19AC69F43CC3}" presName="hierChild3" presStyleCnt="0"/>
      <dgm:spPr/>
    </dgm:pt>
    <dgm:pt modelId="{9EB6E4AF-C2A3-1144-B925-8BFC159B245A}" type="pres">
      <dgm:prSet presAssocID="{95286151-D215-C849-BDF3-A39924042D1C}" presName="Name25" presStyleLbl="parChTrans1D2" presStyleIdx="1" presStyleCnt="4"/>
      <dgm:spPr/>
      <dgm:t>
        <a:bodyPr/>
        <a:lstStyle/>
        <a:p>
          <a:endParaRPr lang="en-US"/>
        </a:p>
      </dgm:t>
    </dgm:pt>
    <dgm:pt modelId="{608C0961-62B3-FC44-B05D-55D1E0FABCA8}" type="pres">
      <dgm:prSet presAssocID="{95286151-D215-C849-BDF3-A39924042D1C}" presName="connTx" presStyleLbl="parChTrans1D2" presStyleIdx="1" presStyleCnt="4"/>
      <dgm:spPr/>
      <dgm:t>
        <a:bodyPr/>
        <a:lstStyle/>
        <a:p>
          <a:endParaRPr lang="en-US"/>
        </a:p>
      </dgm:t>
    </dgm:pt>
    <dgm:pt modelId="{0C8F327D-7ED8-214D-8C19-BCCA18FC73B8}" type="pres">
      <dgm:prSet presAssocID="{50EAD253-CF2D-484E-82F4-16AB98BCCD40}" presName="Name30" presStyleCnt="0"/>
      <dgm:spPr/>
    </dgm:pt>
    <dgm:pt modelId="{E75965DA-767D-3E41-9316-DF9E38392205}" type="pres">
      <dgm:prSet presAssocID="{50EAD253-CF2D-484E-82F4-16AB98BCCD40}" presName="level2Shape" presStyleLbl="node2" presStyleIdx="1" presStyleCnt="4" custLinFactNeighborY="-30966"/>
      <dgm:spPr/>
      <dgm:t>
        <a:bodyPr/>
        <a:lstStyle/>
        <a:p>
          <a:endParaRPr lang="en-US"/>
        </a:p>
      </dgm:t>
    </dgm:pt>
    <dgm:pt modelId="{9FC636D9-E83B-754E-9E76-289C598BC9F3}" type="pres">
      <dgm:prSet presAssocID="{50EAD253-CF2D-484E-82F4-16AB98BCCD40}" presName="hierChild3" presStyleCnt="0"/>
      <dgm:spPr/>
    </dgm:pt>
    <dgm:pt modelId="{FFE6A3F1-4C92-B544-9FEC-DD51009E7828}" type="pres">
      <dgm:prSet presAssocID="{C6127519-1438-444D-A596-1971A60E5922}" presName="Name25" presStyleLbl="parChTrans1D2" presStyleIdx="2" presStyleCnt="4"/>
      <dgm:spPr/>
      <dgm:t>
        <a:bodyPr/>
        <a:lstStyle/>
        <a:p>
          <a:endParaRPr lang="en-US"/>
        </a:p>
      </dgm:t>
    </dgm:pt>
    <dgm:pt modelId="{D8BE9683-CC14-F643-8E15-3CECC92F861B}" type="pres">
      <dgm:prSet presAssocID="{C6127519-1438-444D-A596-1971A60E5922}" presName="connTx" presStyleLbl="parChTrans1D2" presStyleIdx="2" presStyleCnt="4"/>
      <dgm:spPr/>
      <dgm:t>
        <a:bodyPr/>
        <a:lstStyle/>
        <a:p>
          <a:endParaRPr lang="en-US"/>
        </a:p>
      </dgm:t>
    </dgm:pt>
    <dgm:pt modelId="{ADA55135-0B96-554A-8E8A-DC9CBF101B9B}" type="pres">
      <dgm:prSet presAssocID="{9C1F8687-AE46-9F4D-BD67-D8A3324098EE}" presName="Name30" presStyleCnt="0"/>
      <dgm:spPr/>
    </dgm:pt>
    <dgm:pt modelId="{898E93A3-AD28-F54F-A4CD-39A8E2256D8E}" type="pres">
      <dgm:prSet presAssocID="{9C1F8687-AE46-9F4D-BD67-D8A3324098EE}" presName="level2Shape" presStyleLbl="node2" presStyleIdx="2" presStyleCnt="4" custLinFactNeighborX="-932" custLinFactNeighborY="90698"/>
      <dgm:spPr/>
      <dgm:t>
        <a:bodyPr/>
        <a:lstStyle/>
        <a:p>
          <a:endParaRPr lang="en-US"/>
        </a:p>
      </dgm:t>
    </dgm:pt>
    <dgm:pt modelId="{F6159652-0A2D-FA47-8647-802427FD23FE}" type="pres">
      <dgm:prSet presAssocID="{9C1F8687-AE46-9F4D-BD67-D8A3324098EE}" presName="hierChild3" presStyleCnt="0"/>
      <dgm:spPr/>
    </dgm:pt>
    <dgm:pt modelId="{38F0B48A-4ACD-164E-B31D-3190F6574068}" type="pres">
      <dgm:prSet presAssocID="{CC461852-A9D9-754C-81DB-FC6C5C59FCCF}" presName="Name25" presStyleLbl="parChTrans1D2" presStyleIdx="3" presStyleCnt="4"/>
      <dgm:spPr/>
      <dgm:t>
        <a:bodyPr/>
        <a:lstStyle/>
        <a:p>
          <a:endParaRPr lang="en-US"/>
        </a:p>
      </dgm:t>
    </dgm:pt>
    <dgm:pt modelId="{25F44634-EC28-F84A-A270-A957DFEDCF07}" type="pres">
      <dgm:prSet presAssocID="{CC461852-A9D9-754C-81DB-FC6C5C59FCCF}" presName="connTx" presStyleLbl="parChTrans1D2" presStyleIdx="3" presStyleCnt="4"/>
      <dgm:spPr/>
      <dgm:t>
        <a:bodyPr/>
        <a:lstStyle/>
        <a:p>
          <a:endParaRPr lang="en-US"/>
        </a:p>
      </dgm:t>
    </dgm:pt>
    <dgm:pt modelId="{94F59B12-51CC-894E-9CE3-C56EBE52E00B}" type="pres">
      <dgm:prSet presAssocID="{D8F669EB-1D13-F54E-A65E-CA03D52F5E46}" presName="Name30" presStyleCnt="0"/>
      <dgm:spPr/>
    </dgm:pt>
    <dgm:pt modelId="{5C51C9AB-611E-714D-A442-134BF7DF8E36}" type="pres">
      <dgm:prSet presAssocID="{D8F669EB-1D13-F54E-A65E-CA03D52F5E46}" presName="level2Shape" presStyleLbl="node2" presStyleIdx="3" presStyleCnt="4" custLinFactY="-43897" custLinFactNeighborX="-1864" custLinFactNeighborY="-100000"/>
      <dgm:spPr/>
      <dgm:t>
        <a:bodyPr/>
        <a:lstStyle/>
        <a:p>
          <a:endParaRPr lang="en-US"/>
        </a:p>
      </dgm:t>
    </dgm:pt>
    <dgm:pt modelId="{E838CE5F-DF20-BE49-9835-A08D281A8FCD}" type="pres">
      <dgm:prSet presAssocID="{D8F669EB-1D13-F54E-A65E-CA03D52F5E46}" presName="hierChild3" presStyleCnt="0"/>
      <dgm:spPr/>
    </dgm:pt>
    <dgm:pt modelId="{8ABE1B36-98E0-BF46-A280-701780A9E63B}" type="pres">
      <dgm:prSet presAssocID="{76E7C1D1-47AD-FC4A-9CB0-01EA37717B33}" presName="bgShapesFlow" presStyleCnt="0"/>
      <dgm:spPr/>
    </dgm:pt>
    <dgm:pt modelId="{EBCC08D8-498A-6C46-87C2-511EA9D4F832}" type="pres">
      <dgm:prSet presAssocID="{24A2C4E5-933F-2B4C-9720-1CAB43D36CC9}" presName="rectComp" presStyleCnt="0"/>
      <dgm:spPr/>
    </dgm:pt>
    <dgm:pt modelId="{9D801A24-57C9-9940-9113-30E15DEAD497}" type="pres">
      <dgm:prSet presAssocID="{24A2C4E5-933F-2B4C-9720-1CAB43D36CC9}" presName="bgRect" presStyleLbl="bgShp" presStyleIdx="0" presStyleCnt="2" custScaleY="90683"/>
      <dgm:spPr/>
      <dgm:t>
        <a:bodyPr/>
        <a:lstStyle/>
        <a:p>
          <a:endParaRPr lang="en-US"/>
        </a:p>
      </dgm:t>
    </dgm:pt>
    <dgm:pt modelId="{500D03DE-007A-1648-960D-6D958A5BC449}" type="pres">
      <dgm:prSet presAssocID="{24A2C4E5-933F-2B4C-9720-1CAB43D36CC9}" presName="bgRectTx" presStyleLbl="bgShp" presStyleIdx="0" presStyleCnt="2">
        <dgm:presLayoutVars>
          <dgm:bulletEnabled val="1"/>
        </dgm:presLayoutVars>
      </dgm:prSet>
      <dgm:spPr/>
      <dgm:t>
        <a:bodyPr/>
        <a:lstStyle/>
        <a:p>
          <a:endParaRPr lang="en-US"/>
        </a:p>
      </dgm:t>
    </dgm:pt>
    <dgm:pt modelId="{242CC83F-20C7-0E4A-8AD1-09800FD30700}" type="pres">
      <dgm:prSet presAssocID="{24A2C4E5-933F-2B4C-9720-1CAB43D36CC9}" presName="spComp" presStyleCnt="0"/>
      <dgm:spPr/>
    </dgm:pt>
    <dgm:pt modelId="{45EB2D46-F989-E442-A49B-48AAA7FFC79B}" type="pres">
      <dgm:prSet presAssocID="{24A2C4E5-933F-2B4C-9720-1CAB43D36CC9}" presName="hSp" presStyleCnt="0"/>
      <dgm:spPr/>
    </dgm:pt>
    <dgm:pt modelId="{31CD25AB-1E0A-C14C-8AF7-B20B7E4F764E}" type="pres">
      <dgm:prSet presAssocID="{686EFAA8-BA34-7543-9EAF-7FDCD6D73C52}" presName="rectComp" presStyleCnt="0"/>
      <dgm:spPr/>
    </dgm:pt>
    <dgm:pt modelId="{A4097057-3F52-F54F-9EC2-2D97DB98639D}" type="pres">
      <dgm:prSet presAssocID="{686EFAA8-BA34-7543-9EAF-7FDCD6D73C52}" presName="bgRect" presStyleLbl="bgShp" presStyleIdx="1" presStyleCnt="2" custScaleY="90683"/>
      <dgm:spPr/>
      <dgm:t>
        <a:bodyPr/>
        <a:lstStyle/>
        <a:p>
          <a:endParaRPr lang="en-US"/>
        </a:p>
      </dgm:t>
    </dgm:pt>
    <dgm:pt modelId="{ACE9786B-2B87-F047-871C-F0EFB0EFD515}" type="pres">
      <dgm:prSet presAssocID="{686EFAA8-BA34-7543-9EAF-7FDCD6D73C52}" presName="bgRectTx" presStyleLbl="bgShp" presStyleIdx="1" presStyleCnt="2">
        <dgm:presLayoutVars>
          <dgm:bulletEnabled val="1"/>
        </dgm:presLayoutVars>
      </dgm:prSet>
      <dgm:spPr/>
      <dgm:t>
        <a:bodyPr/>
        <a:lstStyle/>
        <a:p>
          <a:endParaRPr lang="en-US"/>
        </a:p>
      </dgm:t>
    </dgm:pt>
  </dgm:ptLst>
  <dgm:cxnLst>
    <dgm:cxn modelId="{BDCD23BD-2FEB-4040-979A-C11F9D485D1D}" type="presOf" srcId="{95286151-D215-C849-BDF3-A39924042D1C}" destId="{608C0961-62B3-FC44-B05D-55D1E0FABCA8}" srcOrd="1" destOrd="0" presId="urn:microsoft.com/office/officeart/2005/8/layout/hierarchy5"/>
    <dgm:cxn modelId="{CD1B7F7B-228F-4B29-8D96-6ED8A3B9EF7C}" type="presOf" srcId="{CC461852-A9D9-754C-81DB-FC6C5C59FCCF}" destId="{38F0B48A-4ACD-164E-B31D-3190F6574068}" srcOrd="0" destOrd="0" presId="urn:microsoft.com/office/officeart/2005/8/layout/hierarchy5"/>
    <dgm:cxn modelId="{7ADA2EFC-9843-469F-8AF6-93A27BF726D7}" type="presOf" srcId="{CC461852-A9D9-754C-81DB-FC6C5C59FCCF}" destId="{25F44634-EC28-F84A-A270-A957DFEDCF07}" srcOrd="1" destOrd="0" presId="urn:microsoft.com/office/officeart/2005/8/layout/hierarchy5"/>
    <dgm:cxn modelId="{3F9F46F0-D2FA-F448-9D94-CF4C87DFF1B9}" srcId="{88AD2328-03C2-0844-BF44-E88E5EA57549}" destId="{72026CFD-5588-FA45-9867-19AC69F43CC3}" srcOrd="0" destOrd="0" parTransId="{DDA0C5CB-9121-9E41-AB21-77C7E9CABCF4}" sibTransId="{FC599C06-085F-2442-AA2B-DF77ECB3AD13}"/>
    <dgm:cxn modelId="{E9AAD263-E88A-4D6C-B654-DC6796ADD123}" type="presOf" srcId="{686EFAA8-BA34-7543-9EAF-7FDCD6D73C52}" destId="{A4097057-3F52-F54F-9EC2-2D97DB98639D}" srcOrd="0" destOrd="0" presId="urn:microsoft.com/office/officeart/2005/8/layout/hierarchy5"/>
    <dgm:cxn modelId="{A92F2D2E-E113-4495-8D7B-14E50B59E6F8}" type="presOf" srcId="{95286151-D215-C849-BDF3-A39924042D1C}" destId="{9EB6E4AF-C2A3-1144-B925-8BFC159B245A}" srcOrd="0" destOrd="0" presId="urn:microsoft.com/office/officeart/2005/8/layout/hierarchy5"/>
    <dgm:cxn modelId="{60A9B183-48E1-4A64-A08B-2BB7B130F65F}" type="presOf" srcId="{D8F669EB-1D13-F54E-A65E-CA03D52F5E46}" destId="{5C51C9AB-611E-714D-A442-134BF7DF8E36}" srcOrd="0" destOrd="0" presId="urn:microsoft.com/office/officeart/2005/8/layout/hierarchy5"/>
    <dgm:cxn modelId="{7840FDDF-5868-4B60-BAAB-38D2D6BBF8E4}" type="presOf" srcId="{50EAD253-CF2D-484E-82F4-16AB98BCCD40}" destId="{E75965DA-767D-3E41-9316-DF9E38392205}" srcOrd="0" destOrd="0" presId="urn:microsoft.com/office/officeart/2005/8/layout/hierarchy5"/>
    <dgm:cxn modelId="{74C1458D-243D-4EEF-8E4B-237B9572A740}" type="presOf" srcId="{72026CFD-5588-FA45-9867-19AC69F43CC3}" destId="{AB9B21C0-6279-A84F-8C84-9FEFE15AF40A}" srcOrd="0" destOrd="0" presId="urn:microsoft.com/office/officeart/2005/8/layout/hierarchy5"/>
    <dgm:cxn modelId="{F7E4B330-CFA9-EC4A-8A67-8D6BCE272ABE}" srcId="{88AD2328-03C2-0844-BF44-E88E5EA57549}" destId="{D8F669EB-1D13-F54E-A65E-CA03D52F5E46}" srcOrd="3" destOrd="0" parTransId="{CC461852-A9D9-754C-81DB-FC6C5C59FCCF}" sibTransId="{B3720231-BEA8-334D-B823-8044BBC241FA}"/>
    <dgm:cxn modelId="{B0DBD5C0-C9A1-40B3-8525-AF360FD4542C}" type="presOf" srcId="{DDA0C5CB-9121-9E41-AB21-77C7E9CABCF4}" destId="{B4BFACEC-6E70-6B46-A85D-0C9E987544BC}" srcOrd="1" destOrd="0" presId="urn:microsoft.com/office/officeart/2005/8/layout/hierarchy5"/>
    <dgm:cxn modelId="{60291D94-ECC8-4A65-8D32-E0AE355F16AD}" type="presOf" srcId="{88AD2328-03C2-0844-BF44-E88E5EA57549}" destId="{F1B21478-79B0-0049-A3B3-8F2C481B08DF}" srcOrd="0" destOrd="0" presId="urn:microsoft.com/office/officeart/2005/8/layout/hierarchy5"/>
    <dgm:cxn modelId="{5B481519-318F-864D-B31E-36ADB0DD9455}" srcId="{76E7C1D1-47AD-FC4A-9CB0-01EA37717B33}" destId="{24A2C4E5-933F-2B4C-9720-1CAB43D36CC9}" srcOrd="1" destOrd="0" parTransId="{6D4E4CAF-06D6-E041-802E-97F8EE0B36A6}" sibTransId="{BC9545B5-0FE0-C142-BC60-88673910B322}"/>
    <dgm:cxn modelId="{62A14EC3-2E06-AF47-9DDA-3E84D7782021}" srcId="{88AD2328-03C2-0844-BF44-E88E5EA57549}" destId="{50EAD253-CF2D-484E-82F4-16AB98BCCD40}" srcOrd="1" destOrd="0" parTransId="{95286151-D215-C849-BDF3-A39924042D1C}" sibTransId="{5ADE1A90-F8E5-004F-BAEE-496EA38E10EF}"/>
    <dgm:cxn modelId="{5BD5151F-342D-AF4B-8917-59BCBACF932B}" srcId="{76E7C1D1-47AD-FC4A-9CB0-01EA37717B33}" destId="{88AD2328-03C2-0844-BF44-E88E5EA57549}" srcOrd="0" destOrd="0" parTransId="{A7CF26A4-CD15-EF46-A5E7-5CF5A53CAAC4}" sibTransId="{53256B37-8BA7-E643-940C-A3AC8C3D10C3}"/>
    <dgm:cxn modelId="{FAC3651D-E42D-4707-84A3-1F458D06C89A}" type="presOf" srcId="{9C1F8687-AE46-9F4D-BD67-D8A3324098EE}" destId="{898E93A3-AD28-F54F-A4CD-39A8E2256D8E}" srcOrd="0" destOrd="0" presId="urn:microsoft.com/office/officeart/2005/8/layout/hierarchy5"/>
    <dgm:cxn modelId="{B1171C05-58D9-6843-B872-7C665323080F}" srcId="{76E7C1D1-47AD-FC4A-9CB0-01EA37717B33}" destId="{686EFAA8-BA34-7543-9EAF-7FDCD6D73C52}" srcOrd="2" destOrd="0" parTransId="{9FD5A9F3-4C88-434E-8E4A-B09EAC9030D8}" sibTransId="{3A66E6CA-7982-9642-800E-3CB72F05D66F}"/>
    <dgm:cxn modelId="{D674B6CE-051B-477A-8F15-DB618C41A1A9}" type="presOf" srcId="{C6127519-1438-444D-A596-1971A60E5922}" destId="{FFE6A3F1-4C92-B544-9FEC-DD51009E7828}" srcOrd="0" destOrd="0" presId="urn:microsoft.com/office/officeart/2005/8/layout/hierarchy5"/>
    <dgm:cxn modelId="{7ECCC61B-5E3C-4DD3-BF44-02966D2EF879}" type="presOf" srcId="{76E7C1D1-47AD-FC4A-9CB0-01EA37717B33}" destId="{B592BDB0-C4D0-BA4E-9D5F-D15BCFA8CD21}" srcOrd="0" destOrd="0" presId="urn:microsoft.com/office/officeart/2005/8/layout/hierarchy5"/>
    <dgm:cxn modelId="{6903A8CB-FD28-4725-A379-30513EB4121C}" type="presOf" srcId="{24A2C4E5-933F-2B4C-9720-1CAB43D36CC9}" destId="{500D03DE-007A-1648-960D-6D958A5BC449}" srcOrd="1" destOrd="0" presId="urn:microsoft.com/office/officeart/2005/8/layout/hierarchy5"/>
    <dgm:cxn modelId="{0680E960-9DBF-B648-8843-0E3875F1BA25}" srcId="{88AD2328-03C2-0844-BF44-E88E5EA57549}" destId="{9C1F8687-AE46-9F4D-BD67-D8A3324098EE}" srcOrd="2" destOrd="0" parTransId="{C6127519-1438-444D-A596-1971A60E5922}" sibTransId="{4013F045-A629-E645-BB1C-A7E59B20000C}"/>
    <dgm:cxn modelId="{09097BEA-D53B-41E3-9D73-AD34D7DFF89B}" type="presOf" srcId="{24A2C4E5-933F-2B4C-9720-1CAB43D36CC9}" destId="{9D801A24-57C9-9940-9113-30E15DEAD497}" srcOrd="0" destOrd="0" presId="urn:microsoft.com/office/officeart/2005/8/layout/hierarchy5"/>
    <dgm:cxn modelId="{7ACAFB6B-773F-402B-8402-F92DEBC9A928}" type="presOf" srcId="{686EFAA8-BA34-7543-9EAF-7FDCD6D73C52}" destId="{ACE9786B-2B87-F047-871C-F0EFB0EFD515}" srcOrd="1" destOrd="0" presId="urn:microsoft.com/office/officeart/2005/8/layout/hierarchy5"/>
    <dgm:cxn modelId="{C8378C08-6378-480B-A7BA-794F09BFEDFD}" type="presOf" srcId="{DDA0C5CB-9121-9E41-AB21-77C7E9CABCF4}" destId="{D68EB364-5EED-5A47-8679-B4E3F01E1CF8}" srcOrd="0" destOrd="0" presId="urn:microsoft.com/office/officeart/2005/8/layout/hierarchy5"/>
    <dgm:cxn modelId="{E5823151-8E5B-4006-868D-498943102402}" type="presOf" srcId="{C6127519-1438-444D-A596-1971A60E5922}" destId="{D8BE9683-CC14-F643-8E15-3CECC92F861B}" srcOrd="1" destOrd="0" presId="urn:microsoft.com/office/officeart/2005/8/layout/hierarchy5"/>
    <dgm:cxn modelId="{E43E607C-3905-4423-85B2-DDEB7952CD06}" type="presParOf" srcId="{B592BDB0-C4D0-BA4E-9D5F-D15BCFA8CD21}" destId="{D533805E-4013-4E49-93F2-200115C21D59}" srcOrd="0" destOrd="0" presId="urn:microsoft.com/office/officeart/2005/8/layout/hierarchy5"/>
    <dgm:cxn modelId="{9C7F30A9-47DA-4381-8466-B80D5F35318F}" type="presParOf" srcId="{D533805E-4013-4E49-93F2-200115C21D59}" destId="{976CF042-EF13-FE46-93AB-6A5CEA90B47F}" srcOrd="0" destOrd="0" presId="urn:microsoft.com/office/officeart/2005/8/layout/hierarchy5"/>
    <dgm:cxn modelId="{FB447A54-E357-4E8B-8558-91D319C75CDB}" type="presParOf" srcId="{D533805E-4013-4E49-93F2-200115C21D59}" destId="{423219B4-EF44-5843-9D98-3F3F2E92651A}" srcOrd="1" destOrd="0" presId="urn:microsoft.com/office/officeart/2005/8/layout/hierarchy5"/>
    <dgm:cxn modelId="{A061494E-7EB8-4888-BECD-849CC364FABF}" type="presParOf" srcId="{423219B4-EF44-5843-9D98-3F3F2E92651A}" destId="{331D17AF-4B0A-F740-9C87-0BF7B9145A73}" srcOrd="0" destOrd="0" presId="urn:microsoft.com/office/officeart/2005/8/layout/hierarchy5"/>
    <dgm:cxn modelId="{158371A6-E65A-40BE-AB0A-99D8A1F3610A}" type="presParOf" srcId="{331D17AF-4B0A-F740-9C87-0BF7B9145A73}" destId="{F1B21478-79B0-0049-A3B3-8F2C481B08DF}" srcOrd="0" destOrd="0" presId="urn:microsoft.com/office/officeart/2005/8/layout/hierarchy5"/>
    <dgm:cxn modelId="{B2B641DE-817A-428A-8FC7-3B30495A0F7F}" type="presParOf" srcId="{331D17AF-4B0A-F740-9C87-0BF7B9145A73}" destId="{E1B70313-361C-4E4D-8EAB-C50D1688EBF6}" srcOrd="1" destOrd="0" presId="urn:microsoft.com/office/officeart/2005/8/layout/hierarchy5"/>
    <dgm:cxn modelId="{572B399A-725C-4B7E-8B84-0B56BD1C5D9D}" type="presParOf" srcId="{E1B70313-361C-4E4D-8EAB-C50D1688EBF6}" destId="{D68EB364-5EED-5A47-8679-B4E3F01E1CF8}" srcOrd="0" destOrd="0" presId="urn:microsoft.com/office/officeart/2005/8/layout/hierarchy5"/>
    <dgm:cxn modelId="{632172C4-CD08-4878-A3AB-D048586ED249}" type="presParOf" srcId="{D68EB364-5EED-5A47-8679-B4E3F01E1CF8}" destId="{B4BFACEC-6E70-6B46-A85D-0C9E987544BC}" srcOrd="0" destOrd="0" presId="urn:microsoft.com/office/officeart/2005/8/layout/hierarchy5"/>
    <dgm:cxn modelId="{FF97AAF5-0014-4E64-9DB4-B6346D79CDE9}" type="presParOf" srcId="{E1B70313-361C-4E4D-8EAB-C50D1688EBF6}" destId="{EEFA4958-B87B-744E-9E17-737A078C3780}" srcOrd="1" destOrd="0" presId="urn:microsoft.com/office/officeart/2005/8/layout/hierarchy5"/>
    <dgm:cxn modelId="{3DDA3340-5956-4DBC-8409-E099623A66BF}" type="presParOf" srcId="{EEFA4958-B87B-744E-9E17-737A078C3780}" destId="{AB9B21C0-6279-A84F-8C84-9FEFE15AF40A}" srcOrd="0" destOrd="0" presId="urn:microsoft.com/office/officeart/2005/8/layout/hierarchy5"/>
    <dgm:cxn modelId="{0679B58A-0612-49B9-AD1B-4A59837476AE}" type="presParOf" srcId="{EEFA4958-B87B-744E-9E17-737A078C3780}" destId="{DDA1E61B-AAC5-B644-9091-272217013E06}" srcOrd="1" destOrd="0" presId="urn:microsoft.com/office/officeart/2005/8/layout/hierarchy5"/>
    <dgm:cxn modelId="{78997805-D420-41FD-A866-1AF95D18C4A6}" type="presParOf" srcId="{E1B70313-361C-4E4D-8EAB-C50D1688EBF6}" destId="{9EB6E4AF-C2A3-1144-B925-8BFC159B245A}" srcOrd="2" destOrd="0" presId="urn:microsoft.com/office/officeart/2005/8/layout/hierarchy5"/>
    <dgm:cxn modelId="{A15E77E2-52B2-4733-90B5-AD3266B9E026}" type="presParOf" srcId="{9EB6E4AF-C2A3-1144-B925-8BFC159B245A}" destId="{608C0961-62B3-FC44-B05D-55D1E0FABCA8}" srcOrd="0" destOrd="0" presId="urn:microsoft.com/office/officeart/2005/8/layout/hierarchy5"/>
    <dgm:cxn modelId="{AC6EECE1-8523-4358-BB16-0478196DC24A}" type="presParOf" srcId="{E1B70313-361C-4E4D-8EAB-C50D1688EBF6}" destId="{0C8F327D-7ED8-214D-8C19-BCCA18FC73B8}" srcOrd="3" destOrd="0" presId="urn:microsoft.com/office/officeart/2005/8/layout/hierarchy5"/>
    <dgm:cxn modelId="{1F55ACDC-CAB9-44B6-8AB0-7E1B825B1BBE}" type="presParOf" srcId="{0C8F327D-7ED8-214D-8C19-BCCA18FC73B8}" destId="{E75965DA-767D-3E41-9316-DF9E38392205}" srcOrd="0" destOrd="0" presId="urn:microsoft.com/office/officeart/2005/8/layout/hierarchy5"/>
    <dgm:cxn modelId="{F22A67E3-2A11-4D92-9D7E-E626FCBDFF49}" type="presParOf" srcId="{0C8F327D-7ED8-214D-8C19-BCCA18FC73B8}" destId="{9FC636D9-E83B-754E-9E76-289C598BC9F3}" srcOrd="1" destOrd="0" presId="urn:microsoft.com/office/officeart/2005/8/layout/hierarchy5"/>
    <dgm:cxn modelId="{E4CEB366-A428-4FDB-BAAB-0297F3FAF3F7}" type="presParOf" srcId="{E1B70313-361C-4E4D-8EAB-C50D1688EBF6}" destId="{FFE6A3F1-4C92-B544-9FEC-DD51009E7828}" srcOrd="4" destOrd="0" presId="urn:microsoft.com/office/officeart/2005/8/layout/hierarchy5"/>
    <dgm:cxn modelId="{F3DFDF9F-25F5-418C-8F68-FE716D4C4967}" type="presParOf" srcId="{FFE6A3F1-4C92-B544-9FEC-DD51009E7828}" destId="{D8BE9683-CC14-F643-8E15-3CECC92F861B}" srcOrd="0" destOrd="0" presId="urn:microsoft.com/office/officeart/2005/8/layout/hierarchy5"/>
    <dgm:cxn modelId="{789C428C-096A-42A5-9A7D-D2322415C338}" type="presParOf" srcId="{E1B70313-361C-4E4D-8EAB-C50D1688EBF6}" destId="{ADA55135-0B96-554A-8E8A-DC9CBF101B9B}" srcOrd="5" destOrd="0" presId="urn:microsoft.com/office/officeart/2005/8/layout/hierarchy5"/>
    <dgm:cxn modelId="{6E032FD3-C541-4BF4-A6DB-B75135689F2A}" type="presParOf" srcId="{ADA55135-0B96-554A-8E8A-DC9CBF101B9B}" destId="{898E93A3-AD28-F54F-A4CD-39A8E2256D8E}" srcOrd="0" destOrd="0" presId="urn:microsoft.com/office/officeart/2005/8/layout/hierarchy5"/>
    <dgm:cxn modelId="{415C297A-ABC7-44DD-8AF4-E26D0423682B}" type="presParOf" srcId="{ADA55135-0B96-554A-8E8A-DC9CBF101B9B}" destId="{F6159652-0A2D-FA47-8647-802427FD23FE}" srcOrd="1" destOrd="0" presId="urn:microsoft.com/office/officeart/2005/8/layout/hierarchy5"/>
    <dgm:cxn modelId="{2231FD2B-24CE-4DA6-938A-F64B790E8C96}" type="presParOf" srcId="{E1B70313-361C-4E4D-8EAB-C50D1688EBF6}" destId="{38F0B48A-4ACD-164E-B31D-3190F6574068}" srcOrd="6" destOrd="0" presId="urn:microsoft.com/office/officeart/2005/8/layout/hierarchy5"/>
    <dgm:cxn modelId="{7D6CC95B-FEB1-483C-9F0B-5B2133D2A14E}" type="presParOf" srcId="{38F0B48A-4ACD-164E-B31D-3190F6574068}" destId="{25F44634-EC28-F84A-A270-A957DFEDCF07}" srcOrd="0" destOrd="0" presId="urn:microsoft.com/office/officeart/2005/8/layout/hierarchy5"/>
    <dgm:cxn modelId="{A1A58CA7-1A5B-417D-A3BE-E08C1DDBE606}" type="presParOf" srcId="{E1B70313-361C-4E4D-8EAB-C50D1688EBF6}" destId="{94F59B12-51CC-894E-9CE3-C56EBE52E00B}" srcOrd="7" destOrd="0" presId="urn:microsoft.com/office/officeart/2005/8/layout/hierarchy5"/>
    <dgm:cxn modelId="{202F04EE-BC75-4A61-992D-AF09764722B8}" type="presParOf" srcId="{94F59B12-51CC-894E-9CE3-C56EBE52E00B}" destId="{5C51C9AB-611E-714D-A442-134BF7DF8E36}" srcOrd="0" destOrd="0" presId="urn:microsoft.com/office/officeart/2005/8/layout/hierarchy5"/>
    <dgm:cxn modelId="{915AB6B9-E089-4153-B786-BBC39E15F1CB}" type="presParOf" srcId="{94F59B12-51CC-894E-9CE3-C56EBE52E00B}" destId="{E838CE5F-DF20-BE49-9835-A08D281A8FCD}" srcOrd="1" destOrd="0" presId="urn:microsoft.com/office/officeart/2005/8/layout/hierarchy5"/>
    <dgm:cxn modelId="{161E3D6F-A372-476C-A110-8C2684283A20}" type="presParOf" srcId="{B592BDB0-C4D0-BA4E-9D5F-D15BCFA8CD21}" destId="{8ABE1B36-98E0-BF46-A280-701780A9E63B}" srcOrd="1" destOrd="0" presId="urn:microsoft.com/office/officeart/2005/8/layout/hierarchy5"/>
    <dgm:cxn modelId="{DD8674A4-FCD8-4C9D-9ECA-C9A9E0EBBA41}" type="presParOf" srcId="{8ABE1B36-98E0-BF46-A280-701780A9E63B}" destId="{EBCC08D8-498A-6C46-87C2-511EA9D4F832}" srcOrd="0" destOrd="0" presId="urn:microsoft.com/office/officeart/2005/8/layout/hierarchy5"/>
    <dgm:cxn modelId="{93B2E828-D169-4679-8FE1-35EDC2B24CBF}" type="presParOf" srcId="{EBCC08D8-498A-6C46-87C2-511EA9D4F832}" destId="{9D801A24-57C9-9940-9113-30E15DEAD497}" srcOrd="0" destOrd="0" presId="urn:microsoft.com/office/officeart/2005/8/layout/hierarchy5"/>
    <dgm:cxn modelId="{F67A6E29-73D0-4B3F-B12B-3AACAC874DF4}" type="presParOf" srcId="{EBCC08D8-498A-6C46-87C2-511EA9D4F832}" destId="{500D03DE-007A-1648-960D-6D958A5BC449}" srcOrd="1" destOrd="0" presId="urn:microsoft.com/office/officeart/2005/8/layout/hierarchy5"/>
    <dgm:cxn modelId="{EE8B2155-CE6A-4612-AA48-BD3780E53967}" type="presParOf" srcId="{8ABE1B36-98E0-BF46-A280-701780A9E63B}" destId="{242CC83F-20C7-0E4A-8AD1-09800FD30700}" srcOrd="1" destOrd="0" presId="urn:microsoft.com/office/officeart/2005/8/layout/hierarchy5"/>
    <dgm:cxn modelId="{FD2FA8EC-A49F-4B4F-941C-B15E0E185BEA}" type="presParOf" srcId="{242CC83F-20C7-0E4A-8AD1-09800FD30700}" destId="{45EB2D46-F989-E442-A49B-48AAA7FFC79B}" srcOrd="0" destOrd="0" presId="urn:microsoft.com/office/officeart/2005/8/layout/hierarchy5"/>
    <dgm:cxn modelId="{29010DB6-722D-4FE2-88BC-35533A7AFADF}" type="presParOf" srcId="{8ABE1B36-98E0-BF46-A280-701780A9E63B}" destId="{31CD25AB-1E0A-C14C-8AF7-B20B7E4F764E}" srcOrd="2" destOrd="0" presId="urn:microsoft.com/office/officeart/2005/8/layout/hierarchy5"/>
    <dgm:cxn modelId="{FE295F40-78D3-4909-8192-CB15CF896D21}" type="presParOf" srcId="{31CD25AB-1E0A-C14C-8AF7-B20B7E4F764E}" destId="{A4097057-3F52-F54F-9EC2-2D97DB98639D}" srcOrd="0" destOrd="0" presId="urn:microsoft.com/office/officeart/2005/8/layout/hierarchy5"/>
    <dgm:cxn modelId="{158DC190-785A-4D41-BA29-A37250B38A1C}" type="presParOf" srcId="{31CD25AB-1E0A-C14C-8AF7-B20B7E4F764E}" destId="{ACE9786B-2B87-F047-871C-F0EFB0EFD515}" srcOrd="1" destOrd="0" presId="urn:microsoft.com/office/officeart/2005/8/layout/hierarchy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E7C1D1-47AD-FC4A-9CB0-01EA37717B33}" type="doc">
      <dgm:prSet loTypeId="urn:microsoft.com/office/officeart/2005/8/layout/hierarchy5" loCatId="" qsTypeId="urn:microsoft.com/office/officeart/2005/8/quickstyle/simple4" qsCatId="simple" csTypeId="urn:microsoft.com/office/officeart/2005/8/colors/accent4_2" csCatId="accent4" phldr="1"/>
      <dgm:spPr/>
      <dgm:t>
        <a:bodyPr/>
        <a:lstStyle/>
        <a:p>
          <a:endParaRPr lang="en-US"/>
        </a:p>
      </dgm:t>
    </dgm:pt>
    <dgm:pt modelId="{88AD2328-03C2-0844-BF44-E88E5EA57549}">
      <dgm:prSet phldrT="[Text]" custT="1"/>
      <dgm:spPr/>
      <dgm:t>
        <a:bodyPr/>
        <a:lstStyle/>
        <a:p>
          <a:r>
            <a:rPr lang="en-US" sz="900" dirty="0" smtClean="0">
              <a:latin typeface="+mj-lt"/>
            </a:rPr>
            <a:t>Food Sales</a:t>
          </a:r>
          <a:endParaRPr lang="en-US" sz="900" dirty="0">
            <a:latin typeface="+mj-lt"/>
          </a:endParaRPr>
        </a:p>
      </dgm:t>
    </dgm:pt>
    <dgm:pt modelId="{A7CF26A4-CD15-EF46-A5E7-5CF5A53CAAC4}" type="parTrans" cxnId="{5BD5151F-342D-AF4B-8917-59BCBACF932B}">
      <dgm:prSet/>
      <dgm:spPr/>
      <dgm:t>
        <a:bodyPr/>
        <a:lstStyle/>
        <a:p>
          <a:endParaRPr lang="en-US" sz="1600">
            <a:latin typeface="+mj-lt"/>
          </a:endParaRPr>
        </a:p>
      </dgm:t>
    </dgm:pt>
    <dgm:pt modelId="{53256B37-8BA7-E643-940C-A3AC8C3D10C3}" type="sibTrans" cxnId="{5BD5151F-342D-AF4B-8917-59BCBACF932B}">
      <dgm:prSet/>
      <dgm:spPr/>
      <dgm:t>
        <a:bodyPr/>
        <a:lstStyle/>
        <a:p>
          <a:endParaRPr lang="en-US" sz="1600">
            <a:latin typeface="+mj-lt"/>
          </a:endParaRPr>
        </a:p>
      </dgm:t>
    </dgm:pt>
    <dgm:pt modelId="{24A2C4E5-933F-2B4C-9720-1CAB43D36CC9}">
      <dgm:prSet phldrT="[Text]" custT="1"/>
      <dgm:spPr/>
      <dgm:t>
        <a:bodyPr/>
        <a:lstStyle/>
        <a:p>
          <a:r>
            <a:rPr lang="en-US" sz="1400" dirty="0" smtClean="0">
              <a:latin typeface="+mj-lt"/>
            </a:rPr>
            <a:t>PBA</a:t>
          </a:r>
          <a:endParaRPr lang="en-US" sz="1600" dirty="0">
            <a:latin typeface="+mj-lt"/>
          </a:endParaRPr>
        </a:p>
      </dgm:t>
    </dgm:pt>
    <dgm:pt modelId="{6D4E4CAF-06D6-E041-802E-97F8EE0B36A6}" type="parTrans" cxnId="{5B481519-318F-864D-B31E-36ADB0DD9455}">
      <dgm:prSet/>
      <dgm:spPr/>
      <dgm:t>
        <a:bodyPr/>
        <a:lstStyle/>
        <a:p>
          <a:endParaRPr lang="en-US" sz="1600">
            <a:latin typeface="+mj-lt"/>
          </a:endParaRPr>
        </a:p>
      </dgm:t>
    </dgm:pt>
    <dgm:pt modelId="{BC9545B5-0FE0-C142-BC60-88673910B322}" type="sibTrans" cxnId="{5B481519-318F-864D-B31E-36ADB0DD9455}">
      <dgm:prSet/>
      <dgm:spPr/>
      <dgm:t>
        <a:bodyPr/>
        <a:lstStyle/>
        <a:p>
          <a:endParaRPr lang="en-US" sz="1600">
            <a:latin typeface="+mj-lt"/>
          </a:endParaRPr>
        </a:p>
      </dgm:t>
    </dgm:pt>
    <dgm:pt modelId="{686EFAA8-BA34-7543-9EAF-7FDCD6D73C52}">
      <dgm:prSet phldrT="[Text]" custT="1"/>
      <dgm:spPr/>
      <dgm:t>
        <a:bodyPr/>
        <a:lstStyle/>
        <a:p>
          <a:r>
            <a:rPr lang="en-US" sz="1400" dirty="0" smtClean="0">
              <a:latin typeface="+mj-lt"/>
            </a:rPr>
            <a:t>PBA Plus</a:t>
          </a:r>
          <a:endParaRPr lang="en-US" sz="1400" dirty="0">
            <a:latin typeface="+mj-lt"/>
          </a:endParaRPr>
        </a:p>
      </dgm:t>
    </dgm:pt>
    <dgm:pt modelId="{9FD5A9F3-4C88-434E-8E4A-B09EAC9030D8}" type="parTrans" cxnId="{B1171C05-58D9-6843-B872-7C665323080F}">
      <dgm:prSet/>
      <dgm:spPr/>
      <dgm:t>
        <a:bodyPr/>
        <a:lstStyle/>
        <a:p>
          <a:endParaRPr lang="en-US" sz="1600">
            <a:latin typeface="+mj-lt"/>
          </a:endParaRPr>
        </a:p>
      </dgm:t>
    </dgm:pt>
    <dgm:pt modelId="{3A66E6CA-7982-9642-800E-3CB72F05D66F}" type="sibTrans" cxnId="{B1171C05-58D9-6843-B872-7C665323080F}">
      <dgm:prSet/>
      <dgm:spPr/>
      <dgm:t>
        <a:bodyPr/>
        <a:lstStyle/>
        <a:p>
          <a:endParaRPr lang="en-US" sz="1600">
            <a:latin typeface="+mj-lt"/>
          </a:endParaRPr>
        </a:p>
      </dgm:t>
    </dgm:pt>
    <dgm:pt modelId="{72026CFD-5588-FA45-9867-19AC69F43CC3}">
      <dgm:prSet phldrT="[Text]" custT="1"/>
      <dgm:spPr/>
      <dgm:t>
        <a:bodyPr/>
        <a:lstStyle/>
        <a:p>
          <a:pPr>
            <a:spcAft>
              <a:spcPts val="0"/>
            </a:spcAft>
          </a:pPr>
          <a:r>
            <a:rPr lang="en-US" sz="900" dirty="0" smtClean="0">
              <a:latin typeface="+mj-lt"/>
            </a:rPr>
            <a:t>Convenience </a:t>
          </a:r>
        </a:p>
        <a:p>
          <a:pPr>
            <a:spcAft>
              <a:spcPct val="35000"/>
            </a:spcAft>
          </a:pPr>
          <a:r>
            <a:rPr lang="en-US" sz="900" dirty="0" smtClean="0">
              <a:latin typeface="+mj-lt"/>
            </a:rPr>
            <a:t>store</a:t>
          </a:r>
        </a:p>
      </dgm:t>
    </dgm:pt>
    <dgm:pt modelId="{FC599C06-085F-2442-AA2B-DF77ECB3AD13}" type="sibTrans" cxnId="{3F9F46F0-D2FA-F448-9D94-CF4C87DFF1B9}">
      <dgm:prSet/>
      <dgm:spPr/>
      <dgm:t>
        <a:bodyPr/>
        <a:lstStyle/>
        <a:p>
          <a:endParaRPr lang="en-US" sz="1600">
            <a:latin typeface="+mj-lt"/>
          </a:endParaRPr>
        </a:p>
      </dgm:t>
    </dgm:pt>
    <dgm:pt modelId="{DDA0C5CB-9121-9E41-AB21-77C7E9CABCF4}" type="parTrans" cxnId="{3F9F46F0-D2FA-F448-9D94-CF4C87DFF1B9}">
      <dgm:prSet custT="1"/>
      <dgm:spPr/>
      <dgm:t>
        <a:bodyPr/>
        <a:lstStyle/>
        <a:p>
          <a:endParaRPr lang="en-US" sz="400">
            <a:latin typeface="+mj-lt"/>
          </a:endParaRPr>
        </a:p>
      </dgm:t>
    </dgm:pt>
    <dgm:pt modelId="{50EAD253-CF2D-484E-82F4-16AB98BCCD40}">
      <dgm:prSet custT="1"/>
      <dgm:spPr/>
      <dgm:t>
        <a:bodyPr/>
        <a:lstStyle/>
        <a:p>
          <a:r>
            <a:rPr lang="en-US" sz="900" dirty="0" smtClean="0">
              <a:latin typeface="+mj-lt"/>
            </a:rPr>
            <a:t>Convenience store with gas station</a:t>
          </a:r>
          <a:endParaRPr lang="en-US" sz="900" dirty="0">
            <a:latin typeface="+mj-lt"/>
          </a:endParaRPr>
        </a:p>
      </dgm:t>
    </dgm:pt>
    <dgm:pt modelId="{95286151-D215-C849-BDF3-A39924042D1C}" type="parTrans" cxnId="{62A14EC3-2E06-AF47-9DDA-3E84D7782021}">
      <dgm:prSet custT="1"/>
      <dgm:spPr/>
      <dgm:t>
        <a:bodyPr/>
        <a:lstStyle/>
        <a:p>
          <a:endParaRPr lang="en-US" sz="400">
            <a:latin typeface="+mj-lt"/>
          </a:endParaRPr>
        </a:p>
      </dgm:t>
    </dgm:pt>
    <dgm:pt modelId="{5ADE1A90-F8E5-004F-BAEE-496EA38E10EF}" type="sibTrans" cxnId="{62A14EC3-2E06-AF47-9DDA-3E84D7782021}">
      <dgm:prSet/>
      <dgm:spPr/>
      <dgm:t>
        <a:bodyPr/>
        <a:lstStyle/>
        <a:p>
          <a:endParaRPr lang="en-US" sz="1600">
            <a:latin typeface="+mj-lt"/>
          </a:endParaRPr>
        </a:p>
      </dgm:t>
    </dgm:pt>
    <dgm:pt modelId="{9C1F8687-AE46-9F4D-BD67-D8A3324098EE}">
      <dgm:prSet custT="1"/>
      <dgm:spPr/>
      <dgm:t>
        <a:bodyPr/>
        <a:lstStyle/>
        <a:p>
          <a:r>
            <a:rPr lang="en-US" sz="900" dirty="0" smtClean="0">
              <a:latin typeface="+mj-lt"/>
            </a:rPr>
            <a:t>Grocery store/  food market</a:t>
          </a:r>
          <a:endParaRPr lang="en-US" sz="900" dirty="0">
            <a:latin typeface="+mj-lt"/>
          </a:endParaRPr>
        </a:p>
      </dgm:t>
    </dgm:pt>
    <dgm:pt modelId="{C6127519-1438-444D-A596-1971A60E5922}" type="parTrans" cxnId="{0680E960-9DBF-B648-8843-0E3875F1BA25}">
      <dgm:prSet custT="1"/>
      <dgm:spPr/>
      <dgm:t>
        <a:bodyPr/>
        <a:lstStyle/>
        <a:p>
          <a:endParaRPr lang="en-US" sz="400">
            <a:latin typeface="+mj-lt"/>
          </a:endParaRPr>
        </a:p>
      </dgm:t>
    </dgm:pt>
    <dgm:pt modelId="{4013F045-A629-E645-BB1C-A7E59B20000C}" type="sibTrans" cxnId="{0680E960-9DBF-B648-8843-0E3875F1BA25}">
      <dgm:prSet/>
      <dgm:spPr/>
      <dgm:t>
        <a:bodyPr/>
        <a:lstStyle/>
        <a:p>
          <a:endParaRPr lang="en-US" sz="1600">
            <a:latin typeface="+mj-lt"/>
          </a:endParaRPr>
        </a:p>
      </dgm:t>
    </dgm:pt>
    <dgm:pt modelId="{D8F669EB-1D13-F54E-A65E-CA03D52F5E46}">
      <dgm:prSet custT="1"/>
      <dgm:spPr/>
      <dgm:t>
        <a:bodyPr/>
        <a:lstStyle/>
        <a:p>
          <a:r>
            <a:rPr lang="en-US" sz="900" dirty="0" smtClean="0">
              <a:latin typeface="+mj-lt"/>
            </a:rPr>
            <a:t>Other</a:t>
          </a:r>
          <a:endParaRPr lang="en-US" sz="900" dirty="0">
            <a:latin typeface="+mj-lt"/>
          </a:endParaRPr>
        </a:p>
      </dgm:t>
    </dgm:pt>
    <dgm:pt modelId="{CC461852-A9D9-754C-81DB-FC6C5C59FCCF}" type="parTrans" cxnId="{F7E4B330-CFA9-EC4A-8A67-8D6BCE272ABE}">
      <dgm:prSet custT="1"/>
      <dgm:spPr/>
      <dgm:t>
        <a:bodyPr/>
        <a:lstStyle/>
        <a:p>
          <a:endParaRPr lang="en-US" sz="400">
            <a:latin typeface="+mj-lt"/>
          </a:endParaRPr>
        </a:p>
      </dgm:t>
    </dgm:pt>
    <dgm:pt modelId="{B3720231-BEA8-334D-B823-8044BBC241FA}" type="sibTrans" cxnId="{F7E4B330-CFA9-EC4A-8A67-8D6BCE272ABE}">
      <dgm:prSet/>
      <dgm:spPr/>
      <dgm:t>
        <a:bodyPr/>
        <a:lstStyle/>
        <a:p>
          <a:endParaRPr lang="en-US" sz="1600">
            <a:latin typeface="+mj-lt"/>
          </a:endParaRPr>
        </a:p>
      </dgm:t>
    </dgm:pt>
    <dgm:pt modelId="{B592BDB0-C4D0-BA4E-9D5F-D15BCFA8CD21}" type="pres">
      <dgm:prSet presAssocID="{76E7C1D1-47AD-FC4A-9CB0-01EA37717B33}" presName="mainComposite" presStyleCnt="0">
        <dgm:presLayoutVars>
          <dgm:chPref val="1"/>
          <dgm:dir/>
          <dgm:animOne val="branch"/>
          <dgm:animLvl val="lvl"/>
          <dgm:resizeHandles val="exact"/>
        </dgm:presLayoutVars>
      </dgm:prSet>
      <dgm:spPr/>
      <dgm:t>
        <a:bodyPr/>
        <a:lstStyle/>
        <a:p>
          <a:endParaRPr lang="en-US"/>
        </a:p>
      </dgm:t>
    </dgm:pt>
    <dgm:pt modelId="{D533805E-4013-4E49-93F2-200115C21D59}" type="pres">
      <dgm:prSet presAssocID="{76E7C1D1-47AD-FC4A-9CB0-01EA37717B33}" presName="hierFlow" presStyleCnt="0"/>
      <dgm:spPr/>
    </dgm:pt>
    <dgm:pt modelId="{976CF042-EF13-FE46-93AB-6A5CEA90B47F}" type="pres">
      <dgm:prSet presAssocID="{76E7C1D1-47AD-FC4A-9CB0-01EA37717B33}" presName="firstBuf" presStyleCnt="0"/>
      <dgm:spPr/>
    </dgm:pt>
    <dgm:pt modelId="{423219B4-EF44-5843-9D98-3F3F2E92651A}" type="pres">
      <dgm:prSet presAssocID="{76E7C1D1-47AD-FC4A-9CB0-01EA37717B33}" presName="hierChild1" presStyleCnt="0">
        <dgm:presLayoutVars>
          <dgm:chPref val="1"/>
          <dgm:animOne val="branch"/>
          <dgm:animLvl val="lvl"/>
        </dgm:presLayoutVars>
      </dgm:prSet>
      <dgm:spPr/>
    </dgm:pt>
    <dgm:pt modelId="{331D17AF-4B0A-F740-9C87-0BF7B9145A73}" type="pres">
      <dgm:prSet presAssocID="{88AD2328-03C2-0844-BF44-E88E5EA57549}" presName="Name17" presStyleCnt="0"/>
      <dgm:spPr/>
    </dgm:pt>
    <dgm:pt modelId="{F1B21478-79B0-0049-A3B3-8F2C481B08DF}" type="pres">
      <dgm:prSet presAssocID="{88AD2328-03C2-0844-BF44-E88E5EA57549}" presName="level1Shape" presStyleLbl="node0" presStyleIdx="0" presStyleCnt="1" custLinFactNeighborY="-23830">
        <dgm:presLayoutVars>
          <dgm:chPref val="3"/>
        </dgm:presLayoutVars>
      </dgm:prSet>
      <dgm:spPr/>
      <dgm:t>
        <a:bodyPr/>
        <a:lstStyle/>
        <a:p>
          <a:endParaRPr lang="en-US"/>
        </a:p>
      </dgm:t>
    </dgm:pt>
    <dgm:pt modelId="{E1B70313-361C-4E4D-8EAB-C50D1688EBF6}" type="pres">
      <dgm:prSet presAssocID="{88AD2328-03C2-0844-BF44-E88E5EA57549}" presName="hierChild2" presStyleCnt="0"/>
      <dgm:spPr/>
    </dgm:pt>
    <dgm:pt modelId="{D68EB364-5EED-5A47-8679-B4E3F01E1CF8}" type="pres">
      <dgm:prSet presAssocID="{DDA0C5CB-9121-9E41-AB21-77C7E9CABCF4}" presName="Name25" presStyleLbl="parChTrans1D2" presStyleIdx="0" presStyleCnt="4"/>
      <dgm:spPr/>
      <dgm:t>
        <a:bodyPr/>
        <a:lstStyle/>
        <a:p>
          <a:endParaRPr lang="en-US"/>
        </a:p>
      </dgm:t>
    </dgm:pt>
    <dgm:pt modelId="{B4BFACEC-6E70-6B46-A85D-0C9E987544BC}" type="pres">
      <dgm:prSet presAssocID="{DDA0C5CB-9121-9E41-AB21-77C7E9CABCF4}" presName="connTx" presStyleLbl="parChTrans1D2" presStyleIdx="0" presStyleCnt="4"/>
      <dgm:spPr/>
      <dgm:t>
        <a:bodyPr/>
        <a:lstStyle/>
        <a:p>
          <a:endParaRPr lang="en-US"/>
        </a:p>
      </dgm:t>
    </dgm:pt>
    <dgm:pt modelId="{EEFA4958-B87B-744E-9E17-737A078C3780}" type="pres">
      <dgm:prSet presAssocID="{72026CFD-5588-FA45-9867-19AC69F43CC3}" presName="Name30" presStyleCnt="0"/>
      <dgm:spPr/>
    </dgm:pt>
    <dgm:pt modelId="{AB9B21C0-6279-A84F-8C84-9FEFE15AF40A}" type="pres">
      <dgm:prSet presAssocID="{72026CFD-5588-FA45-9867-19AC69F43CC3}" presName="level2Shape" presStyleLbl="node2" presStyleIdx="0" presStyleCnt="4" custLinFactNeighborY="-28596"/>
      <dgm:spPr/>
      <dgm:t>
        <a:bodyPr/>
        <a:lstStyle/>
        <a:p>
          <a:endParaRPr lang="en-US"/>
        </a:p>
      </dgm:t>
    </dgm:pt>
    <dgm:pt modelId="{DDA1E61B-AAC5-B644-9091-272217013E06}" type="pres">
      <dgm:prSet presAssocID="{72026CFD-5588-FA45-9867-19AC69F43CC3}" presName="hierChild3" presStyleCnt="0"/>
      <dgm:spPr/>
    </dgm:pt>
    <dgm:pt modelId="{9EB6E4AF-C2A3-1144-B925-8BFC159B245A}" type="pres">
      <dgm:prSet presAssocID="{95286151-D215-C849-BDF3-A39924042D1C}" presName="Name25" presStyleLbl="parChTrans1D2" presStyleIdx="1" presStyleCnt="4"/>
      <dgm:spPr/>
      <dgm:t>
        <a:bodyPr/>
        <a:lstStyle/>
        <a:p>
          <a:endParaRPr lang="en-US"/>
        </a:p>
      </dgm:t>
    </dgm:pt>
    <dgm:pt modelId="{608C0961-62B3-FC44-B05D-55D1E0FABCA8}" type="pres">
      <dgm:prSet presAssocID="{95286151-D215-C849-BDF3-A39924042D1C}" presName="connTx" presStyleLbl="parChTrans1D2" presStyleIdx="1" presStyleCnt="4"/>
      <dgm:spPr/>
      <dgm:t>
        <a:bodyPr/>
        <a:lstStyle/>
        <a:p>
          <a:endParaRPr lang="en-US"/>
        </a:p>
      </dgm:t>
    </dgm:pt>
    <dgm:pt modelId="{0C8F327D-7ED8-214D-8C19-BCCA18FC73B8}" type="pres">
      <dgm:prSet presAssocID="{50EAD253-CF2D-484E-82F4-16AB98BCCD40}" presName="Name30" presStyleCnt="0"/>
      <dgm:spPr/>
    </dgm:pt>
    <dgm:pt modelId="{E75965DA-767D-3E41-9316-DF9E38392205}" type="pres">
      <dgm:prSet presAssocID="{50EAD253-CF2D-484E-82F4-16AB98BCCD40}" presName="level2Shape" presStyleLbl="node2" presStyleIdx="1" presStyleCnt="4" custLinFactNeighborY="-28596"/>
      <dgm:spPr/>
      <dgm:t>
        <a:bodyPr/>
        <a:lstStyle/>
        <a:p>
          <a:endParaRPr lang="en-US"/>
        </a:p>
      </dgm:t>
    </dgm:pt>
    <dgm:pt modelId="{9FC636D9-E83B-754E-9E76-289C598BC9F3}" type="pres">
      <dgm:prSet presAssocID="{50EAD253-CF2D-484E-82F4-16AB98BCCD40}" presName="hierChild3" presStyleCnt="0"/>
      <dgm:spPr/>
    </dgm:pt>
    <dgm:pt modelId="{FFE6A3F1-4C92-B544-9FEC-DD51009E7828}" type="pres">
      <dgm:prSet presAssocID="{C6127519-1438-444D-A596-1971A60E5922}" presName="Name25" presStyleLbl="parChTrans1D2" presStyleIdx="2" presStyleCnt="4"/>
      <dgm:spPr/>
      <dgm:t>
        <a:bodyPr/>
        <a:lstStyle/>
        <a:p>
          <a:endParaRPr lang="en-US"/>
        </a:p>
      </dgm:t>
    </dgm:pt>
    <dgm:pt modelId="{D8BE9683-CC14-F643-8E15-3CECC92F861B}" type="pres">
      <dgm:prSet presAssocID="{C6127519-1438-444D-A596-1971A60E5922}" presName="connTx" presStyleLbl="parChTrans1D2" presStyleIdx="2" presStyleCnt="4"/>
      <dgm:spPr/>
      <dgm:t>
        <a:bodyPr/>
        <a:lstStyle/>
        <a:p>
          <a:endParaRPr lang="en-US"/>
        </a:p>
      </dgm:t>
    </dgm:pt>
    <dgm:pt modelId="{ADA55135-0B96-554A-8E8A-DC9CBF101B9B}" type="pres">
      <dgm:prSet presAssocID="{9C1F8687-AE46-9F4D-BD67-D8A3324098EE}" presName="Name30" presStyleCnt="0"/>
      <dgm:spPr/>
    </dgm:pt>
    <dgm:pt modelId="{898E93A3-AD28-F54F-A4CD-39A8E2256D8E}" type="pres">
      <dgm:prSet presAssocID="{9C1F8687-AE46-9F4D-BD67-D8A3324098EE}" presName="level2Shape" presStyleLbl="node2" presStyleIdx="2" presStyleCnt="4" custLinFactNeighborY="-26213"/>
      <dgm:spPr/>
      <dgm:t>
        <a:bodyPr/>
        <a:lstStyle/>
        <a:p>
          <a:endParaRPr lang="en-US"/>
        </a:p>
      </dgm:t>
    </dgm:pt>
    <dgm:pt modelId="{F6159652-0A2D-FA47-8647-802427FD23FE}" type="pres">
      <dgm:prSet presAssocID="{9C1F8687-AE46-9F4D-BD67-D8A3324098EE}" presName="hierChild3" presStyleCnt="0"/>
      <dgm:spPr/>
    </dgm:pt>
    <dgm:pt modelId="{38F0B48A-4ACD-164E-B31D-3190F6574068}" type="pres">
      <dgm:prSet presAssocID="{CC461852-A9D9-754C-81DB-FC6C5C59FCCF}" presName="Name25" presStyleLbl="parChTrans1D2" presStyleIdx="3" presStyleCnt="4"/>
      <dgm:spPr/>
      <dgm:t>
        <a:bodyPr/>
        <a:lstStyle/>
        <a:p>
          <a:endParaRPr lang="en-US"/>
        </a:p>
      </dgm:t>
    </dgm:pt>
    <dgm:pt modelId="{25F44634-EC28-F84A-A270-A957DFEDCF07}" type="pres">
      <dgm:prSet presAssocID="{CC461852-A9D9-754C-81DB-FC6C5C59FCCF}" presName="connTx" presStyleLbl="parChTrans1D2" presStyleIdx="3" presStyleCnt="4"/>
      <dgm:spPr/>
      <dgm:t>
        <a:bodyPr/>
        <a:lstStyle/>
        <a:p>
          <a:endParaRPr lang="en-US"/>
        </a:p>
      </dgm:t>
    </dgm:pt>
    <dgm:pt modelId="{94F59B12-51CC-894E-9CE3-C56EBE52E00B}" type="pres">
      <dgm:prSet presAssocID="{D8F669EB-1D13-F54E-A65E-CA03D52F5E46}" presName="Name30" presStyleCnt="0"/>
      <dgm:spPr/>
    </dgm:pt>
    <dgm:pt modelId="{5C51C9AB-611E-714D-A442-134BF7DF8E36}" type="pres">
      <dgm:prSet presAssocID="{D8F669EB-1D13-F54E-A65E-CA03D52F5E46}" presName="level2Shape" presStyleLbl="node2" presStyleIdx="3" presStyleCnt="4" custLinFactNeighborY="-21447"/>
      <dgm:spPr/>
      <dgm:t>
        <a:bodyPr/>
        <a:lstStyle/>
        <a:p>
          <a:endParaRPr lang="en-US"/>
        </a:p>
      </dgm:t>
    </dgm:pt>
    <dgm:pt modelId="{E838CE5F-DF20-BE49-9835-A08D281A8FCD}" type="pres">
      <dgm:prSet presAssocID="{D8F669EB-1D13-F54E-A65E-CA03D52F5E46}" presName="hierChild3" presStyleCnt="0"/>
      <dgm:spPr/>
    </dgm:pt>
    <dgm:pt modelId="{8ABE1B36-98E0-BF46-A280-701780A9E63B}" type="pres">
      <dgm:prSet presAssocID="{76E7C1D1-47AD-FC4A-9CB0-01EA37717B33}" presName="bgShapesFlow" presStyleCnt="0"/>
      <dgm:spPr/>
    </dgm:pt>
    <dgm:pt modelId="{EBCC08D8-498A-6C46-87C2-511EA9D4F832}" type="pres">
      <dgm:prSet presAssocID="{24A2C4E5-933F-2B4C-9720-1CAB43D36CC9}" presName="rectComp" presStyleCnt="0"/>
      <dgm:spPr/>
    </dgm:pt>
    <dgm:pt modelId="{9D801A24-57C9-9940-9113-30E15DEAD497}" type="pres">
      <dgm:prSet presAssocID="{24A2C4E5-933F-2B4C-9720-1CAB43D36CC9}" presName="bgRect" presStyleLbl="bgShp" presStyleIdx="0" presStyleCnt="2" custScaleY="90700"/>
      <dgm:spPr/>
      <dgm:t>
        <a:bodyPr/>
        <a:lstStyle/>
        <a:p>
          <a:endParaRPr lang="en-US"/>
        </a:p>
      </dgm:t>
    </dgm:pt>
    <dgm:pt modelId="{500D03DE-007A-1648-960D-6D958A5BC449}" type="pres">
      <dgm:prSet presAssocID="{24A2C4E5-933F-2B4C-9720-1CAB43D36CC9}" presName="bgRectTx" presStyleLbl="bgShp" presStyleIdx="0" presStyleCnt="2">
        <dgm:presLayoutVars>
          <dgm:bulletEnabled val="1"/>
        </dgm:presLayoutVars>
      </dgm:prSet>
      <dgm:spPr/>
      <dgm:t>
        <a:bodyPr/>
        <a:lstStyle/>
        <a:p>
          <a:endParaRPr lang="en-US"/>
        </a:p>
      </dgm:t>
    </dgm:pt>
    <dgm:pt modelId="{242CC83F-20C7-0E4A-8AD1-09800FD30700}" type="pres">
      <dgm:prSet presAssocID="{24A2C4E5-933F-2B4C-9720-1CAB43D36CC9}" presName="spComp" presStyleCnt="0"/>
      <dgm:spPr/>
    </dgm:pt>
    <dgm:pt modelId="{45EB2D46-F989-E442-A49B-48AAA7FFC79B}" type="pres">
      <dgm:prSet presAssocID="{24A2C4E5-933F-2B4C-9720-1CAB43D36CC9}" presName="hSp" presStyleCnt="0"/>
      <dgm:spPr/>
    </dgm:pt>
    <dgm:pt modelId="{31CD25AB-1E0A-C14C-8AF7-B20B7E4F764E}" type="pres">
      <dgm:prSet presAssocID="{686EFAA8-BA34-7543-9EAF-7FDCD6D73C52}" presName="rectComp" presStyleCnt="0"/>
      <dgm:spPr/>
    </dgm:pt>
    <dgm:pt modelId="{A4097057-3F52-F54F-9EC2-2D97DB98639D}" type="pres">
      <dgm:prSet presAssocID="{686EFAA8-BA34-7543-9EAF-7FDCD6D73C52}" presName="bgRect" presStyleLbl="bgShp" presStyleIdx="1" presStyleCnt="2" custScaleY="90700"/>
      <dgm:spPr/>
      <dgm:t>
        <a:bodyPr/>
        <a:lstStyle/>
        <a:p>
          <a:endParaRPr lang="en-US"/>
        </a:p>
      </dgm:t>
    </dgm:pt>
    <dgm:pt modelId="{ACE9786B-2B87-F047-871C-F0EFB0EFD515}" type="pres">
      <dgm:prSet presAssocID="{686EFAA8-BA34-7543-9EAF-7FDCD6D73C52}" presName="bgRectTx" presStyleLbl="bgShp" presStyleIdx="1" presStyleCnt="2">
        <dgm:presLayoutVars>
          <dgm:bulletEnabled val="1"/>
        </dgm:presLayoutVars>
      </dgm:prSet>
      <dgm:spPr/>
      <dgm:t>
        <a:bodyPr/>
        <a:lstStyle/>
        <a:p>
          <a:endParaRPr lang="en-US"/>
        </a:p>
      </dgm:t>
    </dgm:pt>
  </dgm:ptLst>
  <dgm:cxnLst>
    <dgm:cxn modelId="{F6679DBA-557A-49FE-BEA0-EEA6262290A9}" type="presOf" srcId="{88AD2328-03C2-0844-BF44-E88E5EA57549}" destId="{F1B21478-79B0-0049-A3B3-8F2C481B08DF}" srcOrd="0" destOrd="0" presId="urn:microsoft.com/office/officeart/2005/8/layout/hierarchy5"/>
    <dgm:cxn modelId="{8457AD35-B38D-444F-8C8D-480457B023B2}" type="presOf" srcId="{95286151-D215-C849-BDF3-A39924042D1C}" destId="{9EB6E4AF-C2A3-1144-B925-8BFC159B245A}" srcOrd="0" destOrd="0" presId="urn:microsoft.com/office/officeart/2005/8/layout/hierarchy5"/>
    <dgm:cxn modelId="{002C4181-91D7-449D-ABAD-5C5A591B62B5}" type="presOf" srcId="{686EFAA8-BA34-7543-9EAF-7FDCD6D73C52}" destId="{ACE9786B-2B87-F047-871C-F0EFB0EFD515}" srcOrd="1" destOrd="0" presId="urn:microsoft.com/office/officeart/2005/8/layout/hierarchy5"/>
    <dgm:cxn modelId="{CB5DE3C9-061A-4D98-879E-F481BB30139D}" type="presOf" srcId="{C6127519-1438-444D-A596-1971A60E5922}" destId="{FFE6A3F1-4C92-B544-9FEC-DD51009E7828}" srcOrd="0" destOrd="0" presId="urn:microsoft.com/office/officeart/2005/8/layout/hierarchy5"/>
    <dgm:cxn modelId="{0DEFBB4F-9D17-4C97-9ACB-C9E68A51E1D3}" type="presOf" srcId="{24A2C4E5-933F-2B4C-9720-1CAB43D36CC9}" destId="{9D801A24-57C9-9940-9113-30E15DEAD497}" srcOrd="0" destOrd="0" presId="urn:microsoft.com/office/officeart/2005/8/layout/hierarchy5"/>
    <dgm:cxn modelId="{D1FCB595-4D3B-41EA-8E2C-73073A64BAD8}" type="presOf" srcId="{DDA0C5CB-9121-9E41-AB21-77C7E9CABCF4}" destId="{B4BFACEC-6E70-6B46-A85D-0C9E987544BC}" srcOrd="1" destOrd="0" presId="urn:microsoft.com/office/officeart/2005/8/layout/hierarchy5"/>
    <dgm:cxn modelId="{E5918AEF-2E27-44D8-AAA2-2CF3B7CA5B9D}" type="presOf" srcId="{9C1F8687-AE46-9F4D-BD67-D8A3324098EE}" destId="{898E93A3-AD28-F54F-A4CD-39A8E2256D8E}" srcOrd="0" destOrd="0" presId="urn:microsoft.com/office/officeart/2005/8/layout/hierarchy5"/>
    <dgm:cxn modelId="{778B2EE9-BBF0-46BD-84E3-D0A3636DDEB4}" type="presOf" srcId="{C6127519-1438-444D-A596-1971A60E5922}" destId="{D8BE9683-CC14-F643-8E15-3CECC92F861B}" srcOrd="1" destOrd="0" presId="urn:microsoft.com/office/officeart/2005/8/layout/hierarchy5"/>
    <dgm:cxn modelId="{69AA3E34-EC3F-41E6-9D1F-8066D2F4C60D}" type="presOf" srcId="{686EFAA8-BA34-7543-9EAF-7FDCD6D73C52}" destId="{A4097057-3F52-F54F-9EC2-2D97DB98639D}" srcOrd="0" destOrd="0" presId="urn:microsoft.com/office/officeart/2005/8/layout/hierarchy5"/>
    <dgm:cxn modelId="{10FF6558-FA65-4DA5-B930-08F368B20E7B}" type="presOf" srcId="{D8F669EB-1D13-F54E-A65E-CA03D52F5E46}" destId="{5C51C9AB-611E-714D-A442-134BF7DF8E36}" srcOrd="0" destOrd="0" presId="urn:microsoft.com/office/officeart/2005/8/layout/hierarchy5"/>
    <dgm:cxn modelId="{8A9487B5-4327-4401-B255-57E72331C10A}" type="presOf" srcId="{DDA0C5CB-9121-9E41-AB21-77C7E9CABCF4}" destId="{D68EB364-5EED-5A47-8679-B4E3F01E1CF8}" srcOrd="0" destOrd="0" presId="urn:microsoft.com/office/officeart/2005/8/layout/hierarchy5"/>
    <dgm:cxn modelId="{C78E09EC-A2CB-424B-BAA2-253F0B3AADA3}" type="presOf" srcId="{50EAD253-CF2D-484E-82F4-16AB98BCCD40}" destId="{E75965DA-767D-3E41-9316-DF9E38392205}" srcOrd="0" destOrd="0" presId="urn:microsoft.com/office/officeart/2005/8/layout/hierarchy5"/>
    <dgm:cxn modelId="{5B481519-318F-864D-B31E-36ADB0DD9455}" srcId="{76E7C1D1-47AD-FC4A-9CB0-01EA37717B33}" destId="{24A2C4E5-933F-2B4C-9720-1CAB43D36CC9}" srcOrd="1" destOrd="0" parTransId="{6D4E4CAF-06D6-E041-802E-97F8EE0B36A6}" sibTransId="{BC9545B5-0FE0-C142-BC60-88673910B322}"/>
    <dgm:cxn modelId="{F7E4B330-CFA9-EC4A-8A67-8D6BCE272ABE}" srcId="{88AD2328-03C2-0844-BF44-E88E5EA57549}" destId="{D8F669EB-1D13-F54E-A65E-CA03D52F5E46}" srcOrd="3" destOrd="0" parTransId="{CC461852-A9D9-754C-81DB-FC6C5C59FCCF}" sibTransId="{B3720231-BEA8-334D-B823-8044BBC241FA}"/>
    <dgm:cxn modelId="{5BD5151F-342D-AF4B-8917-59BCBACF932B}" srcId="{76E7C1D1-47AD-FC4A-9CB0-01EA37717B33}" destId="{88AD2328-03C2-0844-BF44-E88E5EA57549}" srcOrd="0" destOrd="0" parTransId="{A7CF26A4-CD15-EF46-A5E7-5CF5A53CAAC4}" sibTransId="{53256B37-8BA7-E643-940C-A3AC8C3D10C3}"/>
    <dgm:cxn modelId="{F4799F3A-1F65-4D79-B868-9DAC0999E066}" type="presOf" srcId="{76E7C1D1-47AD-FC4A-9CB0-01EA37717B33}" destId="{B592BDB0-C4D0-BA4E-9D5F-D15BCFA8CD21}" srcOrd="0" destOrd="0" presId="urn:microsoft.com/office/officeart/2005/8/layout/hierarchy5"/>
    <dgm:cxn modelId="{B1171C05-58D9-6843-B872-7C665323080F}" srcId="{76E7C1D1-47AD-FC4A-9CB0-01EA37717B33}" destId="{686EFAA8-BA34-7543-9EAF-7FDCD6D73C52}" srcOrd="2" destOrd="0" parTransId="{9FD5A9F3-4C88-434E-8E4A-B09EAC9030D8}" sibTransId="{3A66E6CA-7982-9642-800E-3CB72F05D66F}"/>
    <dgm:cxn modelId="{F0BB53A9-B8E5-44A3-80B3-1C451C08B07B}" type="presOf" srcId="{72026CFD-5588-FA45-9867-19AC69F43CC3}" destId="{AB9B21C0-6279-A84F-8C84-9FEFE15AF40A}" srcOrd="0" destOrd="0" presId="urn:microsoft.com/office/officeart/2005/8/layout/hierarchy5"/>
    <dgm:cxn modelId="{9F4021D8-2137-4E21-8D5C-992EC1883433}" type="presOf" srcId="{CC461852-A9D9-754C-81DB-FC6C5C59FCCF}" destId="{25F44634-EC28-F84A-A270-A957DFEDCF07}" srcOrd="1" destOrd="0" presId="urn:microsoft.com/office/officeart/2005/8/layout/hierarchy5"/>
    <dgm:cxn modelId="{14DEAC35-31AF-4B76-88D4-C79746338460}" type="presOf" srcId="{24A2C4E5-933F-2B4C-9720-1CAB43D36CC9}" destId="{500D03DE-007A-1648-960D-6D958A5BC449}" srcOrd="1" destOrd="0" presId="urn:microsoft.com/office/officeart/2005/8/layout/hierarchy5"/>
    <dgm:cxn modelId="{9ACB5E20-A791-4F7E-8FB4-260DCA94CBB2}" type="presOf" srcId="{95286151-D215-C849-BDF3-A39924042D1C}" destId="{608C0961-62B3-FC44-B05D-55D1E0FABCA8}" srcOrd="1" destOrd="0" presId="urn:microsoft.com/office/officeart/2005/8/layout/hierarchy5"/>
    <dgm:cxn modelId="{0680E960-9DBF-B648-8843-0E3875F1BA25}" srcId="{88AD2328-03C2-0844-BF44-E88E5EA57549}" destId="{9C1F8687-AE46-9F4D-BD67-D8A3324098EE}" srcOrd="2" destOrd="0" parTransId="{C6127519-1438-444D-A596-1971A60E5922}" sibTransId="{4013F045-A629-E645-BB1C-A7E59B20000C}"/>
    <dgm:cxn modelId="{EBA140E7-4D0D-49E2-934E-328A2C7A65A1}" type="presOf" srcId="{CC461852-A9D9-754C-81DB-FC6C5C59FCCF}" destId="{38F0B48A-4ACD-164E-B31D-3190F6574068}" srcOrd="0" destOrd="0" presId="urn:microsoft.com/office/officeart/2005/8/layout/hierarchy5"/>
    <dgm:cxn modelId="{62A14EC3-2E06-AF47-9DDA-3E84D7782021}" srcId="{88AD2328-03C2-0844-BF44-E88E5EA57549}" destId="{50EAD253-CF2D-484E-82F4-16AB98BCCD40}" srcOrd="1" destOrd="0" parTransId="{95286151-D215-C849-BDF3-A39924042D1C}" sibTransId="{5ADE1A90-F8E5-004F-BAEE-496EA38E10EF}"/>
    <dgm:cxn modelId="{3F9F46F0-D2FA-F448-9D94-CF4C87DFF1B9}" srcId="{88AD2328-03C2-0844-BF44-E88E5EA57549}" destId="{72026CFD-5588-FA45-9867-19AC69F43CC3}" srcOrd="0" destOrd="0" parTransId="{DDA0C5CB-9121-9E41-AB21-77C7E9CABCF4}" sibTransId="{FC599C06-085F-2442-AA2B-DF77ECB3AD13}"/>
    <dgm:cxn modelId="{D5063164-6A40-4710-BEDB-4662E6D397BB}" type="presParOf" srcId="{B592BDB0-C4D0-BA4E-9D5F-D15BCFA8CD21}" destId="{D533805E-4013-4E49-93F2-200115C21D59}" srcOrd="0" destOrd="0" presId="urn:microsoft.com/office/officeart/2005/8/layout/hierarchy5"/>
    <dgm:cxn modelId="{1C596046-5F76-4D5C-A4C2-72F86158C8B2}" type="presParOf" srcId="{D533805E-4013-4E49-93F2-200115C21D59}" destId="{976CF042-EF13-FE46-93AB-6A5CEA90B47F}" srcOrd="0" destOrd="0" presId="urn:microsoft.com/office/officeart/2005/8/layout/hierarchy5"/>
    <dgm:cxn modelId="{C131B176-8AF0-4CE0-BBBB-D34393EA25E2}" type="presParOf" srcId="{D533805E-4013-4E49-93F2-200115C21D59}" destId="{423219B4-EF44-5843-9D98-3F3F2E92651A}" srcOrd="1" destOrd="0" presId="urn:microsoft.com/office/officeart/2005/8/layout/hierarchy5"/>
    <dgm:cxn modelId="{551F2D3B-F58C-4B7D-B8B1-1F0BCCBB3BF1}" type="presParOf" srcId="{423219B4-EF44-5843-9D98-3F3F2E92651A}" destId="{331D17AF-4B0A-F740-9C87-0BF7B9145A73}" srcOrd="0" destOrd="0" presId="urn:microsoft.com/office/officeart/2005/8/layout/hierarchy5"/>
    <dgm:cxn modelId="{CA3A5604-469F-48C8-973F-8E9717D26E43}" type="presParOf" srcId="{331D17AF-4B0A-F740-9C87-0BF7B9145A73}" destId="{F1B21478-79B0-0049-A3B3-8F2C481B08DF}" srcOrd="0" destOrd="0" presId="urn:microsoft.com/office/officeart/2005/8/layout/hierarchy5"/>
    <dgm:cxn modelId="{803001DC-4D02-453A-A8AB-5527F563DED5}" type="presParOf" srcId="{331D17AF-4B0A-F740-9C87-0BF7B9145A73}" destId="{E1B70313-361C-4E4D-8EAB-C50D1688EBF6}" srcOrd="1" destOrd="0" presId="urn:microsoft.com/office/officeart/2005/8/layout/hierarchy5"/>
    <dgm:cxn modelId="{F382622A-7248-479E-9F93-F837293CF275}" type="presParOf" srcId="{E1B70313-361C-4E4D-8EAB-C50D1688EBF6}" destId="{D68EB364-5EED-5A47-8679-B4E3F01E1CF8}" srcOrd="0" destOrd="0" presId="urn:microsoft.com/office/officeart/2005/8/layout/hierarchy5"/>
    <dgm:cxn modelId="{BD6E6926-9B22-4F9E-9280-CCA1A5129AA8}" type="presParOf" srcId="{D68EB364-5EED-5A47-8679-B4E3F01E1CF8}" destId="{B4BFACEC-6E70-6B46-A85D-0C9E987544BC}" srcOrd="0" destOrd="0" presId="urn:microsoft.com/office/officeart/2005/8/layout/hierarchy5"/>
    <dgm:cxn modelId="{C50C81D3-AF68-4D2E-BE15-89C903D0204B}" type="presParOf" srcId="{E1B70313-361C-4E4D-8EAB-C50D1688EBF6}" destId="{EEFA4958-B87B-744E-9E17-737A078C3780}" srcOrd="1" destOrd="0" presId="urn:microsoft.com/office/officeart/2005/8/layout/hierarchy5"/>
    <dgm:cxn modelId="{0D81AEEF-FDFB-431F-B3D0-3503ABDA799D}" type="presParOf" srcId="{EEFA4958-B87B-744E-9E17-737A078C3780}" destId="{AB9B21C0-6279-A84F-8C84-9FEFE15AF40A}" srcOrd="0" destOrd="0" presId="urn:microsoft.com/office/officeart/2005/8/layout/hierarchy5"/>
    <dgm:cxn modelId="{C3CC9C8C-0BC1-4127-B035-E3007C38D3C0}" type="presParOf" srcId="{EEFA4958-B87B-744E-9E17-737A078C3780}" destId="{DDA1E61B-AAC5-B644-9091-272217013E06}" srcOrd="1" destOrd="0" presId="urn:microsoft.com/office/officeart/2005/8/layout/hierarchy5"/>
    <dgm:cxn modelId="{C532A43C-FA4E-4B48-A9FB-7C0D3C5C4DC9}" type="presParOf" srcId="{E1B70313-361C-4E4D-8EAB-C50D1688EBF6}" destId="{9EB6E4AF-C2A3-1144-B925-8BFC159B245A}" srcOrd="2" destOrd="0" presId="urn:microsoft.com/office/officeart/2005/8/layout/hierarchy5"/>
    <dgm:cxn modelId="{0455E80E-7FB6-4E66-AB51-D9BCB6CAED21}" type="presParOf" srcId="{9EB6E4AF-C2A3-1144-B925-8BFC159B245A}" destId="{608C0961-62B3-FC44-B05D-55D1E0FABCA8}" srcOrd="0" destOrd="0" presId="urn:microsoft.com/office/officeart/2005/8/layout/hierarchy5"/>
    <dgm:cxn modelId="{C3485AE9-5515-4817-8D96-5D4248FD9EF7}" type="presParOf" srcId="{E1B70313-361C-4E4D-8EAB-C50D1688EBF6}" destId="{0C8F327D-7ED8-214D-8C19-BCCA18FC73B8}" srcOrd="3" destOrd="0" presId="urn:microsoft.com/office/officeart/2005/8/layout/hierarchy5"/>
    <dgm:cxn modelId="{130635C2-13FB-4333-906D-BA1F435C49EA}" type="presParOf" srcId="{0C8F327D-7ED8-214D-8C19-BCCA18FC73B8}" destId="{E75965DA-767D-3E41-9316-DF9E38392205}" srcOrd="0" destOrd="0" presId="urn:microsoft.com/office/officeart/2005/8/layout/hierarchy5"/>
    <dgm:cxn modelId="{EF641CFF-01F1-4354-B6C9-CB4639C895B5}" type="presParOf" srcId="{0C8F327D-7ED8-214D-8C19-BCCA18FC73B8}" destId="{9FC636D9-E83B-754E-9E76-289C598BC9F3}" srcOrd="1" destOrd="0" presId="urn:microsoft.com/office/officeart/2005/8/layout/hierarchy5"/>
    <dgm:cxn modelId="{F3D52F8A-DAF7-4CF0-B9A9-215F1A49F7C3}" type="presParOf" srcId="{E1B70313-361C-4E4D-8EAB-C50D1688EBF6}" destId="{FFE6A3F1-4C92-B544-9FEC-DD51009E7828}" srcOrd="4" destOrd="0" presId="urn:microsoft.com/office/officeart/2005/8/layout/hierarchy5"/>
    <dgm:cxn modelId="{9D1E83E2-AF42-485F-91C9-8EBDD69A8892}" type="presParOf" srcId="{FFE6A3F1-4C92-B544-9FEC-DD51009E7828}" destId="{D8BE9683-CC14-F643-8E15-3CECC92F861B}" srcOrd="0" destOrd="0" presId="urn:microsoft.com/office/officeart/2005/8/layout/hierarchy5"/>
    <dgm:cxn modelId="{233C56FF-EA14-4BB8-900F-3B7B216F82BE}" type="presParOf" srcId="{E1B70313-361C-4E4D-8EAB-C50D1688EBF6}" destId="{ADA55135-0B96-554A-8E8A-DC9CBF101B9B}" srcOrd="5" destOrd="0" presId="urn:microsoft.com/office/officeart/2005/8/layout/hierarchy5"/>
    <dgm:cxn modelId="{FE7B3328-FB3E-47BC-8536-B31E7B54F3E1}" type="presParOf" srcId="{ADA55135-0B96-554A-8E8A-DC9CBF101B9B}" destId="{898E93A3-AD28-F54F-A4CD-39A8E2256D8E}" srcOrd="0" destOrd="0" presId="urn:microsoft.com/office/officeart/2005/8/layout/hierarchy5"/>
    <dgm:cxn modelId="{9689E080-DD6C-48D5-ADAC-A4D03395952B}" type="presParOf" srcId="{ADA55135-0B96-554A-8E8A-DC9CBF101B9B}" destId="{F6159652-0A2D-FA47-8647-802427FD23FE}" srcOrd="1" destOrd="0" presId="urn:microsoft.com/office/officeart/2005/8/layout/hierarchy5"/>
    <dgm:cxn modelId="{74C52305-0DB2-4AFC-8367-9D101D90BC37}" type="presParOf" srcId="{E1B70313-361C-4E4D-8EAB-C50D1688EBF6}" destId="{38F0B48A-4ACD-164E-B31D-3190F6574068}" srcOrd="6" destOrd="0" presId="urn:microsoft.com/office/officeart/2005/8/layout/hierarchy5"/>
    <dgm:cxn modelId="{7FBE0A7D-3109-448E-A3B4-22EBB743F058}" type="presParOf" srcId="{38F0B48A-4ACD-164E-B31D-3190F6574068}" destId="{25F44634-EC28-F84A-A270-A957DFEDCF07}" srcOrd="0" destOrd="0" presId="urn:microsoft.com/office/officeart/2005/8/layout/hierarchy5"/>
    <dgm:cxn modelId="{15046AA0-2C57-47A7-9802-EF624BF2F32C}" type="presParOf" srcId="{E1B70313-361C-4E4D-8EAB-C50D1688EBF6}" destId="{94F59B12-51CC-894E-9CE3-C56EBE52E00B}" srcOrd="7" destOrd="0" presId="urn:microsoft.com/office/officeart/2005/8/layout/hierarchy5"/>
    <dgm:cxn modelId="{72B46388-088C-4C8A-A49E-876416CD1160}" type="presParOf" srcId="{94F59B12-51CC-894E-9CE3-C56EBE52E00B}" destId="{5C51C9AB-611E-714D-A442-134BF7DF8E36}" srcOrd="0" destOrd="0" presId="urn:microsoft.com/office/officeart/2005/8/layout/hierarchy5"/>
    <dgm:cxn modelId="{CC4184F4-B66E-49B8-B057-4BDB81D2EED1}" type="presParOf" srcId="{94F59B12-51CC-894E-9CE3-C56EBE52E00B}" destId="{E838CE5F-DF20-BE49-9835-A08D281A8FCD}" srcOrd="1" destOrd="0" presId="urn:microsoft.com/office/officeart/2005/8/layout/hierarchy5"/>
    <dgm:cxn modelId="{689177C3-516A-4B2D-81CD-A11F8C6E26A9}" type="presParOf" srcId="{B592BDB0-C4D0-BA4E-9D5F-D15BCFA8CD21}" destId="{8ABE1B36-98E0-BF46-A280-701780A9E63B}" srcOrd="1" destOrd="0" presId="urn:microsoft.com/office/officeart/2005/8/layout/hierarchy5"/>
    <dgm:cxn modelId="{AFB9B478-3F8A-43F6-9FE7-9A1C9FB832BE}" type="presParOf" srcId="{8ABE1B36-98E0-BF46-A280-701780A9E63B}" destId="{EBCC08D8-498A-6C46-87C2-511EA9D4F832}" srcOrd="0" destOrd="0" presId="urn:microsoft.com/office/officeart/2005/8/layout/hierarchy5"/>
    <dgm:cxn modelId="{AA848426-0F8A-4193-AB81-CE718BDA032A}" type="presParOf" srcId="{EBCC08D8-498A-6C46-87C2-511EA9D4F832}" destId="{9D801A24-57C9-9940-9113-30E15DEAD497}" srcOrd="0" destOrd="0" presId="urn:microsoft.com/office/officeart/2005/8/layout/hierarchy5"/>
    <dgm:cxn modelId="{7B3A5195-4E48-42C4-97CB-C6D6289CC29C}" type="presParOf" srcId="{EBCC08D8-498A-6C46-87C2-511EA9D4F832}" destId="{500D03DE-007A-1648-960D-6D958A5BC449}" srcOrd="1" destOrd="0" presId="urn:microsoft.com/office/officeart/2005/8/layout/hierarchy5"/>
    <dgm:cxn modelId="{527B756B-F0F8-42CF-BAFF-7AEC0DC7DD83}" type="presParOf" srcId="{8ABE1B36-98E0-BF46-A280-701780A9E63B}" destId="{242CC83F-20C7-0E4A-8AD1-09800FD30700}" srcOrd="1" destOrd="0" presId="urn:microsoft.com/office/officeart/2005/8/layout/hierarchy5"/>
    <dgm:cxn modelId="{08FF1DD2-7491-47C9-A7CC-623FED5DDF7B}" type="presParOf" srcId="{242CC83F-20C7-0E4A-8AD1-09800FD30700}" destId="{45EB2D46-F989-E442-A49B-48AAA7FFC79B}" srcOrd="0" destOrd="0" presId="urn:microsoft.com/office/officeart/2005/8/layout/hierarchy5"/>
    <dgm:cxn modelId="{5A305A0C-1134-4456-A787-D5EB525AE6AD}" type="presParOf" srcId="{8ABE1B36-98E0-BF46-A280-701780A9E63B}" destId="{31CD25AB-1E0A-C14C-8AF7-B20B7E4F764E}" srcOrd="2" destOrd="0" presId="urn:microsoft.com/office/officeart/2005/8/layout/hierarchy5"/>
    <dgm:cxn modelId="{CEC9E496-FA2A-47BD-A4F6-001874B56EEC}" type="presParOf" srcId="{31CD25AB-1E0A-C14C-8AF7-B20B7E4F764E}" destId="{A4097057-3F52-F54F-9EC2-2D97DB98639D}" srcOrd="0" destOrd="0" presId="urn:microsoft.com/office/officeart/2005/8/layout/hierarchy5"/>
    <dgm:cxn modelId="{16C4B220-C754-4B30-B41A-4255D5D19E6A}" type="presParOf" srcId="{31CD25AB-1E0A-C14C-8AF7-B20B7E4F764E}" destId="{ACE9786B-2B87-F047-871C-F0EFB0EFD515}" srcOrd="1" destOrd="0" presId="urn:microsoft.com/office/officeart/2005/8/layout/hierarchy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6A8E7E-79A3-F247-9466-D839AD73C4EB}" type="doc">
      <dgm:prSet loTypeId="urn:microsoft.com/office/officeart/2005/8/layout/hierarchy3" loCatId="" qsTypeId="urn:microsoft.com/office/officeart/2005/8/quickstyle/simple4" qsCatId="simple" csTypeId="urn:microsoft.com/office/officeart/2005/8/colors/accent1_2" csCatId="accent1" phldr="1"/>
      <dgm:spPr/>
      <dgm:t>
        <a:bodyPr/>
        <a:lstStyle/>
        <a:p>
          <a:endParaRPr lang="en-US"/>
        </a:p>
      </dgm:t>
    </dgm:pt>
    <dgm:pt modelId="{4B01D89F-5FAB-094A-8A97-D7B800CAA7E2}">
      <dgm:prSet phldrT="[Text]" custT="1"/>
      <dgm:spPr/>
      <dgm:t>
        <a:bodyPr/>
        <a:lstStyle/>
        <a:p>
          <a:r>
            <a:rPr lang="en-US" sz="1200" dirty="0" smtClean="0">
              <a:latin typeface="+mj-lt"/>
            </a:rPr>
            <a:t>CBECS	</a:t>
          </a:r>
          <a:endParaRPr lang="en-US" sz="1200" dirty="0">
            <a:latin typeface="+mj-lt"/>
          </a:endParaRPr>
        </a:p>
      </dgm:t>
    </dgm:pt>
    <dgm:pt modelId="{5890F4A0-EF8A-B94F-ABAF-2436B314F2D2}" type="parTrans" cxnId="{9C028C0D-6D1D-414E-98CB-DD12693EF9E3}">
      <dgm:prSet/>
      <dgm:spPr/>
      <dgm:t>
        <a:bodyPr/>
        <a:lstStyle/>
        <a:p>
          <a:endParaRPr lang="en-US"/>
        </a:p>
      </dgm:t>
    </dgm:pt>
    <dgm:pt modelId="{7DAE19CD-3023-2C42-BA15-3AD7BADA7FDA}" type="sibTrans" cxnId="{9C028C0D-6D1D-414E-98CB-DD12693EF9E3}">
      <dgm:prSet/>
      <dgm:spPr/>
      <dgm:t>
        <a:bodyPr/>
        <a:lstStyle/>
        <a:p>
          <a:endParaRPr lang="en-US"/>
        </a:p>
      </dgm:t>
    </dgm:pt>
    <dgm:pt modelId="{6E9473CA-3392-A84C-917E-2407169B5C63}">
      <dgm:prSet phldrT="[Text]" custT="1"/>
      <dgm:spPr/>
      <dgm:t>
        <a:bodyPr/>
        <a:lstStyle/>
        <a:p>
          <a:r>
            <a:rPr lang="en-US" sz="1200" dirty="0" smtClean="0">
              <a:latin typeface="+mj-lt"/>
            </a:rPr>
            <a:t>CDMS</a:t>
          </a:r>
          <a:endParaRPr lang="en-US" sz="1200" dirty="0">
            <a:latin typeface="+mj-lt"/>
          </a:endParaRPr>
        </a:p>
      </dgm:t>
    </dgm:pt>
    <dgm:pt modelId="{38D16FEB-B72E-F241-9713-486F6B6883F6}" type="parTrans" cxnId="{732CD562-AA23-C448-9F38-8889EC6BC739}">
      <dgm:prSet/>
      <dgm:spPr/>
      <dgm:t>
        <a:bodyPr/>
        <a:lstStyle/>
        <a:p>
          <a:endParaRPr lang="en-US"/>
        </a:p>
      </dgm:t>
    </dgm:pt>
    <dgm:pt modelId="{04F83375-7970-7D49-88B9-93489B4EF4CA}" type="sibTrans" cxnId="{732CD562-AA23-C448-9F38-8889EC6BC739}">
      <dgm:prSet/>
      <dgm:spPr/>
      <dgm:t>
        <a:bodyPr/>
        <a:lstStyle/>
        <a:p>
          <a:endParaRPr lang="en-US"/>
        </a:p>
      </dgm:t>
    </dgm:pt>
    <dgm:pt modelId="{8FB6CF90-5496-8C4F-9EC7-C41818FFB27F}">
      <dgm:prSet phldrT="[Text]" custT="1"/>
      <dgm:spPr/>
      <dgm:t>
        <a:bodyPr/>
        <a:lstStyle/>
        <a:p>
          <a:r>
            <a:rPr lang="en-US" sz="1200" b="0" dirty="0" smtClean="0">
              <a:latin typeface="+mj-lt"/>
            </a:rPr>
            <a:t>Mapping Procedure</a:t>
          </a:r>
        </a:p>
      </dgm:t>
    </dgm:pt>
    <dgm:pt modelId="{ACBEE436-9910-3949-85A7-D27AB48A18A1}" type="parTrans" cxnId="{A2FA0259-5046-264D-8310-DA11DBE59A4F}">
      <dgm:prSet/>
      <dgm:spPr/>
      <dgm:t>
        <a:bodyPr/>
        <a:lstStyle/>
        <a:p>
          <a:endParaRPr lang="en-US"/>
        </a:p>
      </dgm:t>
    </dgm:pt>
    <dgm:pt modelId="{5355C4B7-77D9-3140-9212-1EA032E2AB96}" type="sibTrans" cxnId="{A2FA0259-5046-264D-8310-DA11DBE59A4F}">
      <dgm:prSet/>
      <dgm:spPr/>
      <dgm:t>
        <a:bodyPr/>
        <a:lstStyle/>
        <a:p>
          <a:endParaRPr lang="en-US"/>
        </a:p>
      </dgm:t>
    </dgm:pt>
    <dgm:pt modelId="{370E3898-4425-E146-AACF-C7D583B48FB9}">
      <dgm:prSet phldrT="[Text]" custT="1"/>
      <dgm:spPr/>
      <dgm:t>
        <a:bodyPr/>
        <a:lstStyle/>
        <a:p>
          <a:r>
            <a:rPr lang="en-US" sz="800" b="0" dirty="0" smtClean="0">
              <a:latin typeface="+mj-lt"/>
            </a:rPr>
            <a:t>Distinct building type definitions from CBECS mapped to CDMS definitions</a:t>
          </a:r>
        </a:p>
      </dgm:t>
    </dgm:pt>
    <dgm:pt modelId="{280EA3B1-2C94-ED4D-902C-2B0DC675C950}" type="parTrans" cxnId="{FA746C2E-4B96-CE46-8AEF-FEE8FB494D47}">
      <dgm:prSet/>
      <dgm:spPr/>
      <dgm:t>
        <a:bodyPr/>
        <a:lstStyle/>
        <a:p>
          <a:endParaRPr lang="en-US">
            <a:latin typeface="+mj-lt"/>
          </a:endParaRPr>
        </a:p>
      </dgm:t>
    </dgm:pt>
    <dgm:pt modelId="{2611BBFC-CDE1-5446-A297-1080502809C8}" type="sibTrans" cxnId="{FA746C2E-4B96-CE46-8AEF-FEE8FB494D47}">
      <dgm:prSet/>
      <dgm:spPr/>
      <dgm:t>
        <a:bodyPr/>
        <a:lstStyle/>
        <a:p>
          <a:endParaRPr lang="en-US"/>
        </a:p>
      </dgm:t>
    </dgm:pt>
    <dgm:pt modelId="{35FA0080-0D2E-CF41-A753-2630B8A5A95D}">
      <dgm:prSet phldrT="[Text]" custT="1"/>
      <dgm:spPr/>
      <dgm:t>
        <a:bodyPr/>
        <a:lstStyle/>
        <a:p>
          <a:r>
            <a:rPr lang="en-US" sz="800" b="1" dirty="0" smtClean="0">
              <a:latin typeface="+mj-lt"/>
            </a:rPr>
            <a:t>Takeaway:</a:t>
          </a:r>
          <a:r>
            <a:rPr lang="en-US" sz="800" b="0" dirty="0" smtClean="0">
              <a:latin typeface="+mj-lt"/>
            </a:rPr>
            <a:t> Census division-level thermal demand from CBECS disaggregated to county level </a:t>
          </a:r>
          <a:endParaRPr lang="en-US" sz="800" b="1" dirty="0" smtClean="0">
            <a:latin typeface="+mj-lt"/>
          </a:endParaRPr>
        </a:p>
      </dgm:t>
    </dgm:pt>
    <dgm:pt modelId="{FA6C560F-805B-7247-B505-12875A7A9B98}" type="parTrans" cxnId="{B4B8A18E-440D-6C4C-9125-9A7A80441DBF}">
      <dgm:prSet/>
      <dgm:spPr/>
      <dgm:t>
        <a:bodyPr/>
        <a:lstStyle/>
        <a:p>
          <a:endParaRPr lang="en-US">
            <a:latin typeface="+mj-lt"/>
          </a:endParaRPr>
        </a:p>
      </dgm:t>
    </dgm:pt>
    <dgm:pt modelId="{123E241C-1F87-0D44-82E6-77591F4C07A3}" type="sibTrans" cxnId="{B4B8A18E-440D-6C4C-9125-9A7A80441DBF}">
      <dgm:prSet/>
      <dgm:spPr/>
      <dgm:t>
        <a:bodyPr/>
        <a:lstStyle/>
        <a:p>
          <a:endParaRPr lang="en-US"/>
        </a:p>
      </dgm:t>
    </dgm:pt>
    <dgm:pt modelId="{F4346BFE-3738-8C40-9A40-3EBE80819B5B}">
      <dgm:prSet phldrT="[Text]" custT="1"/>
      <dgm:spPr/>
      <dgm:t>
        <a:bodyPr/>
        <a:lstStyle/>
        <a:p>
          <a:r>
            <a:rPr lang="en-US" sz="1200" b="0" smtClean="0">
              <a:latin typeface="+mj-lt"/>
            </a:rPr>
            <a:t>Result</a:t>
          </a:r>
          <a:endParaRPr lang="en-US" sz="1200" b="0" dirty="0" smtClean="0">
            <a:latin typeface="+mj-lt"/>
          </a:endParaRPr>
        </a:p>
      </dgm:t>
    </dgm:pt>
    <dgm:pt modelId="{6BEABC96-2938-154A-A7D3-96D766E57591}" type="parTrans" cxnId="{06DCDD86-C96B-694E-BFC8-B0A631A5F692}">
      <dgm:prSet/>
      <dgm:spPr/>
      <dgm:t>
        <a:bodyPr/>
        <a:lstStyle/>
        <a:p>
          <a:endParaRPr lang="en-US"/>
        </a:p>
      </dgm:t>
    </dgm:pt>
    <dgm:pt modelId="{6DCFE57C-D236-484C-8910-BAC62B307D9E}" type="sibTrans" cxnId="{06DCDD86-C96B-694E-BFC8-B0A631A5F692}">
      <dgm:prSet/>
      <dgm:spPr/>
      <dgm:t>
        <a:bodyPr/>
        <a:lstStyle/>
        <a:p>
          <a:endParaRPr lang="en-US"/>
        </a:p>
      </dgm:t>
    </dgm:pt>
    <dgm:pt modelId="{56F0106B-C8DD-6B46-9236-59265EE1C931}">
      <dgm:prSet phldrT="[Text]" custT="1"/>
      <dgm:spPr/>
      <dgm:t>
        <a:bodyPr/>
        <a:lstStyle/>
        <a:p>
          <a:r>
            <a:rPr lang="en-US" sz="800" b="1" dirty="0" smtClean="0">
              <a:latin typeface="+mj-lt"/>
            </a:rPr>
            <a:t>Total thermal demand for each building type at county level (</a:t>
          </a:r>
          <a:r>
            <a:rPr lang="en-US" sz="800" b="1" dirty="0" err="1" smtClean="0">
              <a:latin typeface="+mj-lt"/>
            </a:rPr>
            <a:t>mBtu</a:t>
          </a:r>
          <a:r>
            <a:rPr lang="en-US" sz="800" b="1" dirty="0" smtClean="0">
              <a:latin typeface="+mj-lt"/>
            </a:rPr>
            <a:t>)</a:t>
          </a:r>
        </a:p>
      </dgm:t>
    </dgm:pt>
    <dgm:pt modelId="{BE65168D-5C15-5546-AF30-23D1DF2BC54C}" type="parTrans" cxnId="{A31A41C6-68F2-8C4B-85BF-A6D3EA50F899}">
      <dgm:prSet/>
      <dgm:spPr/>
      <dgm:t>
        <a:bodyPr/>
        <a:lstStyle/>
        <a:p>
          <a:endParaRPr lang="en-US">
            <a:latin typeface="+mj-lt"/>
          </a:endParaRPr>
        </a:p>
      </dgm:t>
    </dgm:pt>
    <dgm:pt modelId="{DAFE9CFF-C7D0-AD4C-A85A-2231B8A70F84}" type="sibTrans" cxnId="{A31A41C6-68F2-8C4B-85BF-A6D3EA50F899}">
      <dgm:prSet/>
      <dgm:spPr/>
      <dgm:t>
        <a:bodyPr/>
        <a:lstStyle/>
        <a:p>
          <a:endParaRPr lang="en-US"/>
        </a:p>
      </dgm:t>
    </dgm:pt>
    <dgm:pt modelId="{60E5FFC6-6E66-0746-A834-28BBE9C05748}">
      <dgm:prSet phldrT="[Text]" custT="1"/>
      <dgm:spPr/>
      <dgm:t>
        <a:bodyPr/>
        <a:lstStyle/>
        <a:p>
          <a:pPr>
            <a:spcAft>
              <a:spcPts val="0"/>
            </a:spcAft>
          </a:pPr>
          <a:r>
            <a:rPr lang="en-US" sz="800" b="1" dirty="0" smtClean="0">
              <a:latin typeface="+mj-lt"/>
            </a:rPr>
            <a:t>Total Area </a:t>
          </a:r>
        </a:p>
        <a:p>
          <a:pPr>
            <a:spcAft>
              <a:spcPts val="0"/>
            </a:spcAft>
          </a:pPr>
          <a:r>
            <a:rPr lang="en-US" sz="800" i="1" dirty="0" smtClean="0">
              <a:latin typeface="+mj-lt"/>
            </a:rPr>
            <a:t>(sq. ft.) </a:t>
          </a:r>
        </a:p>
        <a:p>
          <a:pPr>
            <a:spcAft>
              <a:spcPts val="0"/>
            </a:spcAft>
          </a:pPr>
          <a:r>
            <a:rPr lang="en-US" sz="800" dirty="0" smtClean="0">
              <a:latin typeface="+mj-lt"/>
            </a:rPr>
            <a:t>of each building type for each county</a:t>
          </a:r>
          <a:endParaRPr lang="en-US" sz="800" dirty="0">
            <a:latin typeface="+mj-lt"/>
          </a:endParaRPr>
        </a:p>
      </dgm:t>
    </dgm:pt>
    <dgm:pt modelId="{7DFACEE8-22E7-244E-AA19-965B65693EEA}" type="sibTrans" cxnId="{85D851E6-7DD7-2E41-9920-45906A0A75BF}">
      <dgm:prSet/>
      <dgm:spPr/>
      <dgm:t>
        <a:bodyPr/>
        <a:lstStyle/>
        <a:p>
          <a:endParaRPr lang="en-US"/>
        </a:p>
      </dgm:t>
    </dgm:pt>
    <dgm:pt modelId="{831D04E7-F369-EC4E-9D6D-9D0B5EEBE339}" type="parTrans" cxnId="{85D851E6-7DD7-2E41-9920-45906A0A75BF}">
      <dgm:prSet/>
      <dgm:spPr/>
      <dgm:t>
        <a:bodyPr/>
        <a:lstStyle/>
        <a:p>
          <a:endParaRPr lang="en-US">
            <a:latin typeface="+mj-lt"/>
          </a:endParaRPr>
        </a:p>
      </dgm:t>
    </dgm:pt>
    <dgm:pt modelId="{CEC004FC-9ECC-8246-BE41-D9E40804D738}">
      <dgm:prSet phldrT="[Text]" custT="1"/>
      <dgm:spPr/>
      <dgm:t>
        <a:bodyPr/>
        <a:lstStyle/>
        <a:p>
          <a:pPr>
            <a:spcAft>
              <a:spcPts val="0"/>
            </a:spcAft>
          </a:pPr>
          <a:r>
            <a:rPr lang="en-US" sz="800" b="1" dirty="0" smtClean="0">
              <a:latin typeface="+mj-lt"/>
            </a:rPr>
            <a:t>Thermal Demand Intensity </a:t>
          </a:r>
        </a:p>
        <a:p>
          <a:pPr>
            <a:spcAft>
              <a:spcPts val="0"/>
            </a:spcAft>
          </a:pPr>
          <a:r>
            <a:rPr lang="en-US" sz="800" b="0" i="1" dirty="0" smtClean="0">
              <a:latin typeface="+mj-lt"/>
            </a:rPr>
            <a:t>(mBtu/sq. ft.)</a:t>
          </a:r>
          <a:r>
            <a:rPr lang="en-US" sz="800" b="1" dirty="0" smtClean="0">
              <a:latin typeface="+mj-lt"/>
            </a:rPr>
            <a:t> </a:t>
          </a:r>
        </a:p>
        <a:p>
          <a:pPr>
            <a:spcAft>
              <a:spcPts val="0"/>
            </a:spcAft>
          </a:pPr>
          <a:r>
            <a:rPr lang="en-US" sz="800" dirty="0" smtClean="0">
              <a:latin typeface="+mj-lt"/>
            </a:rPr>
            <a:t>for each census division and for each PBA</a:t>
          </a:r>
          <a:endParaRPr lang="en-US" sz="800" dirty="0">
            <a:latin typeface="+mj-lt"/>
          </a:endParaRPr>
        </a:p>
      </dgm:t>
    </dgm:pt>
    <dgm:pt modelId="{C6F0BB91-52B2-C54A-AABA-13D118B78311}" type="sibTrans" cxnId="{EB2FEDC6-058C-F248-9E7F-3FD81744591F}">
      <dgm:prSet/>
      <dgm:spPr/>
      <dgm:t>
        <a:bodyPr/>
        <a:lstStyle/>
        <a:p>
          <a:endParaRPr lang="en-US"/>
        </a:p>
      </dgm:t>
    </dgm:pt>
    <dgm:pt modelId="{CB48459D-BB2C-C24C-8E4C-DC2C028F131E}" type="parTrans" cxnId="{EB2FEDC6-058C-F248-9E7F-3FD81744591F}">
      <dgm:prSet/>
      <dgm:spPr/>
      <dgm:t>
        <a:bodyPr/>
        <a:lstStyle/>
        <a:p>
          <a:endParaRPr lang="en-US">
            <a:latin typeface="+mj-lt"/>
          </a:endParaRPr>
        </a:p>
      </dgm:t>
    </dgm:pt>
    <dgm:pt modelId="{68E76E60-9540-5C46-A59D-E9CDF11EFA5F}">
      <dgm:prSet phldrT="[Text]" custT="1"/>
      <dgm:spPr/>
      <dgm:t>
        <a:bodyPr/>
        <a:lstStyle/>
        <a:p>
          <a:pPr>
            <a:spcAft>
              <a:spcPts val="0"/>
            </a:spcAft>
          </a:pPr>
          <a:r>
            <a:rPr lang="en-US" sz="800" b="1" dirty="0">
              <a:latin typeface="+mj-lt"/>
            </a:rPr>
            <a:t>Total Thermal Demand </a:t>
          </a:r>
        </a:p>
        <a:p>
          <a:pPr>
            <a:spcAft>
              <a:spcPts val="0"/>
            </a:spcAft>
          </a:pPr>
          <a:r>
            <a:rPr lang="en-US" sz="800" i="1" dirty="0">
              <a:latin typeface="+mj-lt"/>
            </a:rPr>
            <a:t>(trillion Btu) </a:t>
          </a:r>
        </a:p>
        <a:p>
          <a:pPr>
            <a:spcAft>
              <a:spcPts val="0"/>
            </a:spcAft>
          </a:pPr>
          <a:r>
            <a:rPr lang="en-US" sz="800" dirty="0">
              <a:latin typeface="+mj-lt"/>
            </a:rPr>
            <a:t>for each census division and for each PBA </a:t>
          </a:r>
        </a:p>
      </dgm:t>
    </dgm:pt>
    <dgm:pt modelId="{AE9465DE-2952-A143-A7D6-4B5743034769}" type="parTrans" cxnId="{B4E0C37E-8527-C84B-8FD8-810D05B5627E}">
      <dgm:prSet/>
      <dgm:spPr/>
      <dgm:t>
        <a:bodyPr/>
        <a:lstStyle/>
        <a:p>
          <a:endParaRPr lang="en-US"/>
        </a:p>
      </dgm:t>
    </dgm:pt>
    <dgm:pt modelId="{13C1208F-47EF-AC47-8588-D797377E0D3F}" type="sibTrans" cxnId="{B4E0C37E-8527-C84B-8FD8-810D05B5627E}">
      <dgm:prSet/>
      <dgm:spPr/>
      <dgm:t>
        <a:bodyPr/>
        <a:lstStyle/>
        <a:p>
          <a:endParaRPr lang="en-US"/>
        </a:p>
      </dgm:t>
    </dgm:pt>
    <dgm:pt modelId="{F79EC234-961B-AE41-8E68-E28D37D01ED3}" type="pres">
      <dgm:prSet presAssocID="{466A8E7E-79A3-F247-9466-D839AD73C4EB}" presName="diagram" presStyleCnt="0">
        <dgm:presLayoutVars>
          <dgm:chPref val="1"/>
          <dgm:dir/>
          <dgm:animOne val="branch"/>
          <dgm:animLvl val="lvl"/>
          <dgm:resizeHandles/>
        </dgm:presLayoutVars>
      </dgm:prSet>
      <dgm:spPr/>
      <dgm:t>
        <a:bodyPr/>
        <a:lstStyle/>
        <a:p>
          <a:endParaRPr lang="en-US"/>
        </a:p>
      </dgm:t>
    </dgm:pt>
    <dgm:pt modelId="{416D6DCB-7250-6F48-A630-4CA0E792D791}" type="pres">
      <dgm:prSet presAssocID="{4B01D89F-5FAB-094A-8A97-D7B800CAA7E2}" presName="root" presStyleCnt="0"/>
      <dgm:spPr/>
    </dgm:pt>
    <dgm:pt modelId="{1A249D42-1241-E54F-892E-A1ACAE557819}" type="pres">
      <dgm:prSet presAssocID="{4B01D89F-5FAB-094A-8A97-D7B800CAA7E2}" presName="rootComposite" presStyleCnt="0"/>
      <dgm:spPr/>
    </dgm:pt>
    <dgm:pt modelId="{D608C9D7-CDDF-F74E-876F-AFCF6E3538A6}" type="pres">
      <dgm:prSet presAssocID="{4B01D89F-5FAB-094A-8A97-D7B800CAA7E2}" presName="rootText" presStyleLbl="node1" presStyleIdx="0" presStyleCnt="4" custScaleY="63832"/>
      <dgm:spPr/>
      <dgm:t>
        <a:bodyPr/>
        <a:lstStyle/>
        <a:p>
          <a:endParaRPr lang="en-US"/>
        </a:p>
      </dgm:t>
    </dgm:pt>
    <dgm:pt modelId="{F3C70D81-1DF5-764D-B4EA-92159A7816C6}" type="pres">
      <dgm:prSet presAssocID="{4B01D89F-5FAB-094A-8A97-D7B800CAA7E2}" presName="rootConnector" presStyleLbl="node1" presStyleIdx="0" presStyleCnt="4"/>
      <dgm:spPr/>
      <dgm:t>
        <a:bodyPr/>
        <a:lstStyle/>
        <a:p>
          <a:endParaRPr lang="en-US"/>
        </a:p>
      </dgm:t>
    </dgm:pt>
    <dgm:pt modelId="{6FDB5C58-6498-7648-8B60-5DADB2B8B706}" type="pres">
      <dgm:prSet presAssocID="{4B01D89F-5FAB-094A-8A97-D7B800CAA7E2}" presName="childShape" presStyleCnt="0"/>
      <dgm:spPr/>
    </dgm:pt>
    <dgm:pt modelId="{A485D406-9C25-9E4A-AF05-CFE0F6F9E8EC}" type="pres">
      <dgm:prSet presAssocID="{AE9465DE-2952-A143-A7D6-4B5743034769}" presName="Name13" presStyleLbl="parChTrans1D2" presStyleIdx="0" presStyleCnt="6"/>
      <dgm:spPr/>
      <dgm:t>
        <a:bodyPr/>
        <a:lstStyle/>
        <a:p>
          <a:endParaRPr lang="en-US"/>
        </a:p>
      </dgm:t>
    </dgm:pt>
    <dgm:pt modelId="{F806A694-28C9-FC44-98FE-68EC3509101B}" type="pres">
      <dgm:prSet presAssocID="{68E76E60-9540-5C46-A59D-E9CDF11EFA5F}" presName="childText" presStyleLbl="bgAcc1" presStyleIdx="0" presStyleCnt="6" custScaleY="135882">
        <dgm:presLayoutVars>
          <dgm:bulletEnabled val="1"/>
        </dgm:presLayoutVars>
      </dgm:prSet>
      <dgm:spPr/>
      <dgm:t>
        <a:bodyPr/>
        <a:lstStyle/>
        <a:p>
          <a:endParaRPr lang="en-US"/>
        </a:p>
      </dgm:t>
    </dgm:pt>
    <dgm:pt modelId="{8C9268A6-128B-AC4D-8514-7D8C2FB9C14C}" type="pres">
      <dgm:prSet presAssocID="{CB48459D-BB2C-C24C-8E4C-DC2C028F131E}" presName="Name13" presStyleLbl="parChTrans1D2" presStyleIdx="1" presStyleCnt="6"/>
      <dgm:spPr/>
      <dgm:t>
        <a:bodyPr/>
        <a:lstStyle/>
        <a:p>
          <a:endParaRPr lang="en-US"/>
        </a:p>
      </dgm:t>
    </dgm:pt>
    <dgm:pt modelId="{9F29EB66-5328-0D45-9195-FB8384859814}" type="pres">
      <dgm:prSet presAssocID="{CEC004FC-9ECC-8246-BE41-D9E40804D738}" presName="childText" presStyleLbl="bgAcc1" presStyleIdx="1" presStyleCnt="6" custScaleX="100000" custScaleY="137316" custLinFactNeighborY="-12030">
        <dgm:presLayoutVars>
          <dgm:bulletEnabled val="1"/>
        </dgm:presLayoutVars>
      </dgm:prSet>
      <dgm:spPr/>
      <dgm:t>
        <a:bodyPr/>
        <a:lstStyle/>
        <a:p>
          <a:endParaRPr lang="en-US"/>
        </a:p>
      </dgm:t>
    </dgm:pt>
    <dgm:pt modelId="{74398473-3BD9-FD4C-BE7E-5BBA0323292C}" type="pres">
      <dgm:prSet presAssocID="{6E9473CA-3392-A84C-917E-2407169B5C63}" presName="root" presStyleCnt="0"/>
      <dgm:spPr/>
    </dgm:pt>
    <dgm:pt modelId="{3D3AB9A5-FF95-5940-93E2-9DA9BDD07723}" type="pres">
      <dgm:prSet presAssocID="{6E9473CA-3392-A84C-917E-2407169B5C63}" presName="rootComposite" presStyleCnt="0"/>
      <dgm:spPr/>
    </dgm:pt>
    <dgm:pt modelId="{0BAF59B4-2631-1547-B0FE-7C1F1CF46851}" type="pres">
      <dgm:prSet presAssocID="{6E9473CA-3392-A84C-917E-2407169B5C63}" presName="rootText" presStyleLbl="node1" presStyleIdx="1" presStyleCnt="4" custScaleY="65302"/>
      <dgm:spPr/>
      <dgm:t>
        <a:bodyPr/>
        <a:lstStyle/>
        <a:p>
          <a:endParaRPr lang="en-US"/>
        </a:p>
      </dgm:t>
    </dgm:pt>
    <dgm:pt modelId="{AC41CA9A-EC4D-984A-A455-715FC754A78D}" type="pres">
      <dgm:prSet presAssocID="{6E9473CA-3392-A84C-917E-2407169B5C63}" presName="rootConnector" presStyleLbl="node1" presStyleIdx="1" presStyleCnt="4"/>
      <dgm:spPr/>
      <dgm:t>
        <a:bodyPr/>
        <a:lstStyle/>
        <a:p>
          <a:endParaRPr lang="en-US"/>
        </a:p>
      </dgm:t>
    </dgm:pt>
    <dgm:pt modelId="{D2024ECC-D44B-404C-820D-54F40DF413B0}" type="pres">
      <dgm:prSet presAssocID="{6E9473CA-3392-A84C-917E-2407169B5C63}" presName="childShape" presStyleCnt="0"/>
      <dgm:spPr/>
    </dgm:pt>
    <dgm:pt modelId="{EF1B4474-28CA-F34C-A578-AF50909513CD}" type="pres">
      <dgm:prSet presAssocID="{831D04E7-F369-EC4E-9D6D-9D0B5EEBE339}" presName="Name13" presStyleLbl="parChTrans1D2" presStyleIdx="2" presStyleCnt="6"/>
      <dgm:spPr/>
      <dgm:t>
        <a:bodyPr/>
        <a:lstStyle/>
        <a:p>
          <a:endParaRPr lang="en-US"/>
        </a:p>
      </dgm:t>
    </dgm:pt>
    <dgm:pt modelId="{E4EEC238-F01B-2A47-8126-50E3FA7AF412}" type="pres">
      <dgm:prSet presAssocID="{60E5FFC6-6E66-0746-A834-28BBE9C05748}" presName="childText" presStyleLbl="bgAcc1" presStyleIdx="2" presStyleCnt="6">
        <dgm:presLayoutVars>
          <dgm:bulletEnabled val="1"/>
        </dgm:presLayoutVars>
      </dgm:prSet>
      <dgm:spPr/>
      <dgm:t>
        <a:bodyPr/>
        <a:lstStyle/>
        <a:p>
          <a:endParaRPr lang="en-US"/>
        </a:p>
      </dgm:t>
    </dgm:pt>
    <dgm:pt modelId="{E826D3F6-102D-7444-8D7C-AD1E00474126}" type="pres">
      <dgm:prSet presAssocID="{8FB6CF90-5496-8C4F-9EC7-C41818FFB27F}" presName="root" presStyleCnt="0"/>
      <dgm:spPr/>
    </dgm:pt>
    <dgm:pt modelId="{7D167517-346A-974D-A61F-A1ADC31A545C}" type="pres">
      <dgm:prSet presAssocID="{8FB6CF90-5496-8C4F-9EC7-C41818FFB27F}" presName="rootComposite" presStyleCnt="0"/>
      <dgm:spPr/>
    </dgm:pt>
    <dgm:pt modelId="{0EBCD300-DB11-B242-BCC7-25155DE39318}" type="pres">
      <dgm:prSet presAssocID="{8FB6CF90-5496-8C4F-9EC7-C41818FFB27F}" presName="rootText" presStyleLbl="node1" presStyleIdx="2" presStyleCnt="4" custScaleY="59029"/>
      <dgm:spPr/>
      <dgm:t>
        <a:bodyPr/>
        <a:lstStyle/>
        <a:p>
          <a:endParaRPr lang="en-US"/>
        </a:p>
      </dgm:t>
    </dgm:pt>
    <dgm:pt modelId="{7F3E57E4-BE7F-0C43-B741-DA6998F51BBB}" type="pres">
      <dgm:prSet presAssocID="{8FB6CF90-5496-8C4F-9EC7-C41818FFB27F}" presName="rootConnector" presStyleLbl="node1" presStyleIdx="2" presStyleCnt="4"/>
      <dgm:spPr/>
      <dgm:t>
        <a:bodyPr/>
        <a:lstStyle/>
        <a:p>
          <a:endParaRPr lang="en-US"/>
        </a:p>
      </dgm:t>
    </dgm:pt>
    <dgm:pt modelId="{DF8EEC7D-8756-4E47-949F-09CC9F4C34AF}" type="pres">
      <dgm:prSet presAssocID="{8FB6CF90-5496-8C4F-9EC7-C41818FFB27F}" presName="childShape" presStyleCnt="0"/>
      <dgm:spPr/>
    </dgm:pt>
    <dgm:pt modelId="{820AC1D9-A0CD-7849-A0F2-D933C8F68931}" type="pres">
      <dgm:prSet presAssocID="{280EA3B1-2C94-ED4D-902C-2B0DC675C950}" presName="Name13" presStyleLbl="parChTrans1D2" presStyleIdx="3" presStyleCnt="6"/>
      <dgm:spPr/>
      <dgm:t>
        <a:bodyPr/>
        <a:lstStyle/>
        <a:p>
          <a:endParaRPr lang="en-US"/>
        </a:p>
      </dgm:t>
    </dgm:pt>
    <dgm:pt modelId="{7E7A2C31-C938-E54E-AB2D-6733956EBA32}" type="pres">
      <dgm:prSet presAssocID="{370E3898-4425-E146-AACF-C7D583B48FB9}" presName="childText" presStyleLbl="bgAcc1" presStyleIdx="3" presStyleCnt="6">
        <dgm:presLayoutVars>
          <dgm:bulletEnabled val="1"/>
        </dgm:presLayoutVars>
      </dgm:prSet>
      <dgm:spPr/>
      <dgm:t>
        <a:bodyPr/>
        <a:lstStyle/>
        <a:p>
          <a:endParaRPr lang="en-US"/>
        </a:p>
      </dgm:t>
    </dgm:pt>
    <dgm:pt modelId="{FEE2FC25-CF5C-3840-93C9-3BAA21479208}" type="pres">
      <dgm:prSet presAssocID="{FA6C560F-805B-7247-B505-12875A7A9B98}" presName="Name13" presStyleLbl="parChTrans1D2" presStyleIdx="4" presStyleCnt="6"/>
      <dgm:spPr/>
      <dgm:t>
        <a:bodyPr/>
        <a:lstStyle/>
        <a:p>
          <a:endParaRPr lang="en-US"/>
        </a:p>
      </dgm:t>
    </dgm:pt>
    <dgm:pt modelId="{C6C5942B-F930-5446-8009-8BEDE03A678A}" type="pres">
      <dgm:prSet presAssocID="{35FA0080-0D2E-CF41-A753-2630B8A5A95D}" presName="childText" presStyleLbl="bgAcc1" presStyleIdx="4" presStyleCnt="6" custScaleY="119581">
        <dgm:presLayoutVars>
          <dgm:bulletEnabled val="1"/>
        </dgm:presLayoutVars>
      </dgm:prSet>
      <dgm:spPr/>
      <dgm:t>
        <a:bodyPr/>
        <a:lstStyle/>
        <a:p>
          <a:endParaRPr lang="en-US"/>
        </a:p>
      </dgm:t>
    </dgm:pt>
    <dgm:pt modelId="{31E5754A-E9B2-7B46-95F8-0DAEF8075BAF}" type="pres">
      <dgm:prSet presAssocID="{F4346BFE-3738-8C40-9A40-3EBE80819B5B}" presName="root" presStyleCnt="0"/>
      <dgm:spPr/>
    </dgm:pt>
    <dgm:pt modelId="{35174050-2715-D847-8C04-481D4D3BC470}" type="pres">
      <dgm:prSet presAssocID="{F4346BFE-3738-8C40-9A40-3EBE80819B5B}" presName="rootComposite" presStyleCnt="0"/>
      <dgm:spPr/>
    </dgm:pt>
    <dgm:pt modelId="{17204671-F916-8545-B038-4393A6DD7A49}" type="pres">
      <dgm:prSet presAssocID="{F4346BFE-3738-8C40-9A40-3EBE80819B5B}" presName="rootText" presStyleLbl="node1" presStyleIdx="3" presStyleCnt="4" custScaleY="62166"/>
      <dgm:spPr/>
      <dgm:t>
        <a:bodyPr/>
        <a:lstStyle/>
        <a:p>
          <a:endParaRPr lang="en-US"/>
        </a:p>
      </dgm:t>
    </dgm:pt>
    <dgm:pt modelId="{0AFE27CC-C0B3-9A43-BD2C-3EA98EB2C3D9}" type="pres">
      <dgm:prSet presAssocID="{F4346BFE-3738-8C40-9A40-3EBE80819B5B}" presName="rootConnector" presStyleLbl="node1" presStyleIdx="3" presStyleCnt="4"/>
      <dgm:spPr/>
      <dgm:t>
        <a:bodyPr/>
        <a:lstStyle/>
        <a:p>
          <a:endParaRPr lang="en-US"/>
        </a:p>
      </dgm:t>
    </dgm:pt>
    <dgm:pt modelId="{CDD9C48F-5820-654C-A993-BC957A5DBC90}" type="pres">
      <dgm:prSet presAssocID="{F4346BFE-3738-8C40-9A40-3EBE80819B5B}" presName="childShape" presStyleCnt="0"/>
      <dgm:spPr/>
    </dgm:pt>
    <dgm:pt modelId="{4F8B63C3-6DE7-474E-AECC-80933437CD3E}" type="pres">
      <dgm:prSet presAssocID="{BE65168D-5C15-5546-AF30-23D1DF2BC54C}" presName="Name13" presStyleLbl="parChTrans1D2" presStyleIdx="5" presStyleCnt="6"/>
      <dgm:spPr/>
      <dgm:t>
        <a:bodyPr/>
        <a:lstStyle/>
        <a:p>
          <a:endParaRPr lang="en-US"/>
        </a:p>
      </dgm:t>
    </dgm:pt>
    <dgm:pt modelId="{89D2B8C4-B6BE-9340-B189-EF512733BEDB}" type="pres">
      <dgm:prSet presAssocID="{56F0106B-C8DD-6B46-9236-59265EE1C931}" presName="childText" presStyleLbl="bgAcc1" presStyleIdx="5" presStyleCnt="6">
        <dgm:presLayoutVars>
          <dgm:bulletEnabled val="1"/>
        </dgm:presLayoutVars>
      </dgm:prSet>
      <dgm:spPr/>
      <dgm:t>
        <a:bodyPr/>
        <a:lstStyle/>
        <a:p>
          <a:endParaRPr lang="en-US"/>
        </a:p>
      </dgm:t>
    </dgm:pt>
  </dgm:ptLst>
  <dgm:cxnLst>
    <dgm:cxn modelId="{8EF2A31C-84EC-4F8F-A0A9-E0C828BD2BBC}" type="presOf" srcId="{4B01D89F-5FAB-094A-8A97-D7B800CAA7E2}" destId="{F3C70D81-1DF5-764D-B4EA-92159A7816C6}" srcOrd="1" destOrd="0" presId="urn:microsoft.com/office/officeart/2005/8/layout/hierarchy3"/>
    <dgm:cxn modelId="{3B40945E-6349-4A63-9BB5-EE9770CA5E76}" type="presOf" srcId="{280EA3B1-2C94-ED4D-902C-2B0DC675C950}" destId="{820AC1D9-A0CD-7849-A0F2-D933C8F68931}" srcOrd="0" destOrd="0" presId="urn:microsoft.com/office/officeart/2005/8/layout/hierarchy3"/>
    <dgm:cxn modelId="{5EDF642A-1E56-4341-A432-CB20BB830242}" type="presOf" srcId="{CB48459D-BB2C-C24C-8E4C-DC2C028F131E}" destId="{8C9268A6-128B-AC4D-8514-7D8C2FB9C14C}" srcOrd="0" destOrd="0" presId="urn:microsoft.com/office/officeart/2005/8/layout/hierarchy3"/>
    <dgm:cxn modelId="{40788349-B842-4FC5-832F-4F441ED40404}" type="presOf" srcId="{F4346BFE-3738-8C40-9A40-3EBE80819B5B}" destId="{0AFE27CC-C0B3-9A43-BD2C-3EA98EB2C3D9}" srcOrd="1" destOrd="0" presId="urn:microsoft.com/office/officeart/2005/8/layout/hierarchy3"/>
    <dgm:cxn modelId="{A96DD25F-3BE9-4CFE-B7BE-0C8FE2F7DE48}" type="presOf" srcId="{8FB6CF90-5496-8C4F-9EC7-C41818FFB27F}" destId="{7F3E57E4-BE7F-0C43-B741-DA6998F51BBB}" srcOrd="1" destOrd="0" presId="urn:microsoft.com/office/officeart/2005/8/layout/hierarchy3"/>
    <dgm:cxn modelId="{D4CC4C34-7BED-4E1D-9B84-8C8AE83BB000}" type="presOf" srcId="{466A8E7E-79A3-F247-9466-D839AD73C4EB}" destId="{F79EC234-961B-AE41-8E68-E28D37D01ED3}" srcOrd="0" destOrd="0" presId="urn:microsoft.com/office/officeart/2005/8/layout/hierarchy3"/>
    <dgm:cxn modelId="{F49A3871-1D75-4D5E-9BF9-D725EB0D7598}" type="presOf" srcId="{FA6C560F-805B-7247-B505-12875A7A9B98}" destId="{FEE2FC25-CF5C-3840-93C9-3BAA21479208}" srcOrd="0" destOrd="0" presId="urn:microsoft.com/office/officeart/2005/8/layout/hierarchy3"/>
    <dgm:cxn modelId="{212971CD-D7A7-4DC3-860D-48CB9BC1C92D}" type="presOf" srcId="{56F0106B-C8DD-6B46-9236-59265EE1C931}" destId="{89D2B8C4-B6BE-9340-B189-EF512733BEDB}" srcOrd="0" destOrd="0" presId="urn:microsoft.com/office/officeart/2005/8/layout/hierarchy3"/>
    <dgm:cxn modelId="{B4B8A18E-440D-6C4C-9125-9A7A80441DBF}" srcId="{8FB6CF90-5496-8C4F-9EC7-C41818FFB27F}" destId="{35FA0080-0D2E-CF41-A753-2630B8A5A95D}" srcOrd="1" destOrd="0" parTransId="{FA6C560F-805B-7247-B505-12875A7A9B98}" sibTransId="{123E241C-1F87-0D44-82E6-77591F4C07A3}"/>
    <dgm:cxn modelId="{FAE16570-4143-4E4B-857A-EF8CF4D1AD41}" type="presOf" srcId="{F4346BFE-3738-8C40-9A40-3EBE80819B5B}" destId="{17204671-F916-8545-B038-4393A6DD7A49}" srcOrd="0" destOrd="0" presId="urn:microsoft.com/office/officeart/2005/8/layout/hierarchy3"/>
    <dgm:cxn modelId="{27D716B4-240A-4713-A325-35F2FEF59706}" type="presOf" srcId="{68E76E60-9540-5C46-A59D-E9CDF11EFA5F}" destId="{F806A694-28C9-FC44-98FE-68EC3509101B}" srcOrd="0" destOrd="0" presId="urn:microsoft.com/office/officeart/2005/8/layout/hierarchy3"/>
    <dgm:cxn modelId="{A2FA0259-5046-264D-8310-DA11DBE59A4F}" srcId="{466A8E7E-79A3-F247-9466-D839AD73C4EB}" destId="{8FB6CF90-5496-8C4F-9EC7-C41818FFB27F}" srcOrd="2" destOrd="0" parTransId="{ACBEE436-9910-3949-85A7-D27AB48A18A1}" sibTransId="{5355C4B7-77D9-3140-9212-1EA032E2AB96}"/>
    <dgm:cxn modelId="{EB2FEDC6-058C-F248-9E7F-3FD81744591F}" srcId="{4B01D89F-5FAB-094A-8A97-D7B800CAA7E2}" destId="{CEC004FC-9ECC-8246-BE41-D9E40804D738}" srcOrd="1" destOrd="0" parTransId="{CB48459D-BB2C-C24C-8E4C-DC2C028F131E}" sibTransId="{C6F0BB91-52B2-C54A-AABA-13D118B78311}"/>
    <dgm:cxn modelId="{FA746C2E-4B96-CE46-8AEF-FEE8FB494D47}" srcId="{8FB6CF90-5496-8C4F-9EC7-C41818FFB27F}" destId="{370E3898-4425-E146-AACF-C7D583B48FB9}" srcOrd="0" destOrd="0" parTransId="{280EA3B1-2C94-ED4D-902C-2B0DC675C950}" sibTransId="{2611BBFC-CDE1-5446-A297-1080502809C8}"/>
    <dgm:cxn modelId="{807C6500-AAED-446F-BE54-43F6CF18DB48}" type="presOf" srcId="{6E9473CA-3392-A84C-917E-2407169B5C63}" destId="{0BAF59B4-2631-1547-B0FE-7C1F1CF46851}" srcOrd="0" destOrd="0" presId="urn:microsoft.com/office/officeart/2005/8/layout/hierarchy3"/>
    <dgm:cxn modelId="{FD5FB68E-C21E-41B2-8853-4FD0068DC057}" type="presOf" srcId="{6E9473CA-3392-A84C-917E-2407169B5C63}" destId="{AC41CA9A-EC4D-984A-A455-715FC754A78D}" srcOrd="1" destOrd="0" presId="urn:microsoft.com/office/officeart/2005/8/layout/hierarchy3"/>
    <dgm:cxn modelId="{9C028C0D-6D1D-414E-98CB-DD12693EF9E3}" srcId="{466A8E7E-79A3-F247-9466-D839AD73C4EB}" destId="{4B01D89F-5FAB-094A-8A97-D7B800CAA7E2}" srcOrd="0" destOrd="0" parTransId="{5890F4A0-EF8A-B94F-ABAF-2436B314F2D2}" sibTransId="{7DAE19CD-3023-2C42-BA15-3AD7BADA7FDA}"/>
    <dgm:cxn modelId="{62BBCC0F-28A7-4C0A-9FB3-9AC125A23414}" type="presOf" srcId="{CEC004FC-9ECC-8246-BE41-D9E40804D738}" destId="{9F29EB66-5328-0D45-9195-FB8384859814}" srcOrd="0" destOrd="0" presId="urn:microsoft.com/office/officeart/2005/8/layout/hierarchy3"/>
    <dgm:cxn modelId="{85D851E6-7DD7-2E41-9920-45906A0A75BF}" srcId="{6E9473CA-3392-A84C-917E-2407169B5C63}" destId="{60E5FFC6-6E66-0746-A834-28BBE9C05748}" srcOrd="0" destOrd="0" parTransId="{831D04E7-F369-EC4E-9D6D-9D0B5EEBE339}" sibTransId="{7DFACEE8-22E7-244E-AA19-965B65693EEA}"/>
    <dgm:cxn modelId="{99D57311-F407-4FE0-88BA-DAC1EBC1D9B9}" type="presOf" srcId="{831D04E7-F369-EC4E-9D6D-9D0B5EEBE339}" destId="{EF1B4474-28CA-F34C-A578-AF50909513CD}" srcOrd="0" destOrd="0" presId="urn:microsoft.com/office/officeart/2005/8/layout/hierarchy3"/>
    <dgm:cxn modelId="{06DCDD86-C96B-694E-BFC8-B0A631A5F692}" srcId="{466A8E7E-79A3-F247-9466-D839AD73C4EB}" destId="{F4346BFE-3738-8C40-9A40-3EBE80819B5B}" srcOrd="3" destOrd="0" parTransId="{6BEABC96-2938-154A-A7D3-96D766E57591}" sibTransId="{6DCFE57C-D236-484C-8910-BAC62B307D9E}"/>
    <dgm:cxn modelId="{BCA1E834-6CA7-4BF0-87F6-3F4B2EAC1D8A}" type="presOf" srcId="{BE65168D-5C15-5546-AF30-23D1DF2BC54C}" destId="{4F8B63C3-6DE7-474E-AECC-80933437CD3E}" srcOrd="0" destOrd="0" presId="urn:microsoft.com/office/officeart/2005/8/layout/hierarchy3"/>
    <dgm:cxn modelId="{0BBFCE37-82E4-4942-9E34-83207DB87EF9}" type="presOf" srcId="{AE9465DE-2952-A143-A7D6-4B5743034769}" destId="{A485D406-9C25-9E4A-AF05-CFE0F6F9E8EC}" srcOrd="0" destOrd="0" presId="urn:microsoft.com/office/officeart/2005/8/layout/hierarchy3"/>
    <dgm:cxn modelId="{732CD562-AA23-C448-9F38-8889EC6BC739}" srcId="{466A8E7E-79A3-F247-9466-D839AD73C4EB}" destId="{6E9473CA-3392-A84C-917E-2407169B5C63}" srcOrd="1" destOrd="0" parTransId="{38D16FEB-B72E-F241-9713-486F6B6883F6}" sibTransId="{04F83375-7970-7D49-88B9-93489B4EF4CA}"/>
    <dgm:cxn modelId="{F415491A-B010-4BF7-B324-FB985367B2E4}" type="presOf" srcId="{4B01D89F-5FAB-094A-8A97-D7B800CAA7E2}" destId="{D608C9D7-CDDF-F74E-876F-AFCF6E3538A6}" srcOrd="0" destOrd="0" presId="urn:microsoft.com/office/officeart/2005/8/layout/hierarchy3"/>
    <dgm:cxn modelId="{461CCD4B-7300-4334-BF86-E444BF634FA6}" type="presOf" srcId="{35FA0080-0D2E-CF41-A753-2630B8A5A95D}" destId="{C6C5942B-F930-5446-8009-8BEDE03A678A}" srcOrd="0" destOrd="0" presId="urn:microsoft.com/office/officeart/2005/8/layout/hierarchy3"/>
    <dgm:cxn modelId="{E923E233-58E1-4F9D-ADD0-575980193BA8}" type="presOf" srcId="{8FB6CF90-5496-8C4F-9EC7-C41818FFB27F}" destId="{0EBCD300-DB11-B242-BCC7-25155DE39318}" srcOrd="0" destOrd="0" presId="urn:microsoft.com/office/officeart/2005/8/layout/hierarchy3"/>
    <dgm:cxn modelId="{B4E0C37E-8527-C84B-8FD8-810D05B5627E}" srcId="{4B01D89F-5FAB-094A-8A97-D7B800CAA7E2}" destId="{68E76E60-9540-5C46-A59D-E9CDF11EFA5F}" srcOrd="0" destOrd="0" parTransId="{AE9465DE-2952-A143-A7D6-4B5743034769}" sibTransId="{13C1208F-47EF-AC47-8588-D797377E0D3F}"/>
    <dgm:cxn modelId="{A617E906-85C2-45B7-9421-1A027BE50770}" type="presOf" srcId="{60E5FFC6-6E66-0746-A834-28BBE9C05748}" destId="{E4EEC238-F01B-2A47-8126-50E3FA7AF412}" srcOrd="0" destOrd="0" presId="urn:microsoft.com/office/officeart/2005/8/layout/hierarchy3"/>
    <dgm:cxn modelId="{D67723E7-4943-4003-94AB-CFBA315737D9}" type="presOf" srcId="{370E3898-4425-E146-AACF-C7D583B48FB9}" destId="{7E7A2C31-C938-E54E-AB2D-6733956EBA32}" srcOrd="0" destOrd="0" presId="urn:microsoft.com/office/officeart/2005/8/layout/hierarchy3"/>
    <dgm:cxn modelId="{A31A41C6-68F2-8C4B-85BF-A6D3EA50F899}" srcId="{F4346BFE-3738-8C40-9A40-3EBE80819B5B}" destId="{56F0106B-C8DD-6B46-9236-59265EE1C931}" srcOrd="0" destOrd="0" parTransId="{BE65168D-5C15-5546-AF30-23D1DF2BC54C}" sibTransId="{DAFE9CFF-C7D0-AD4C-A85A-2231B8A70F84}"/>
    <dgm:cxn modelId="{26666233-E8AB-44D8-A192-3130E61155C7}" type="presParOf" srcId="{F79EC234-961B-AE41-8E68-E28D37D01ED3}" destId="{416D6DCB-7250-6F48-A630-4CA0E792D791}" srcOrd="0" destOrd="0" presId="urn:microsoft.com/office/officeart/2005/8/layout/hierarchy3"/>
    <dgm:cxn modelId="{57CF2752-8F39-47E9-9CE9-94EAA6527C12}" type="presParOf" srcId="{416D6DCB-7250-6F48-A630-4CA0E792D791}" destId="{1A249D42-1241-E54F-892E-A1ACAE557819}" srcOrd="0" destOrd="0" presId="urn:microsoft.com/office/officeart/2005/8/layout/hierarchy3"/>
    <dgm:cxn modelId="{7BE1A2A4-8C0C-4805-93C7-374BC307C42D}" type="presParOf" srcId="{1A249D42-1241-E54F-892E-A1ACAE557819}" destId="{D608C9D7-CDDF-F74E-876F-AFCF6E3538A6}" srcOrd="0" destOrd="0" presId="urn:microsoft.com/office/officeart/2005/8/layout/hierarchy3"/>
    <dgm:cxn modelId="{9DD0A771-241D-4759-AC70-AA113901BC3D}" type="presParOf" srcId="{1A249D42-1241-E54F-892E-A1ACAE557819}" destId="{F3C70D81-1DF5-764D-B4EA-92159A7816C6}" srcOrd="1" destOrd="0" presId="urn:microsoft.com/office/officeart/2005/8/layout/hierarchy3"/>
    <dgm:cxn modelId="{6700EF1F-0782-4FBA-9614-5E498E3A9A0A}" type="presParOf" srcId="{416D6DCB-7250-6F48-A630-4CA0E792D791}" destId="{6FDB5C58-6498-7648-8B60-5DADB2B8B706}" srcOrd="1" destOrd="0" presId="urn:microsoft.com/office/officeart/2005/8/layout/hierarchy3"/>
    <dgm:cxn modelId="{5BBACED3-43CB-46D9-AA54-62461F9DAF4E}" type="presParOf" srcId="{6FDB5C58-6498-7648-8B60-5DADB2B8B706}" destId="{A485D406-9C25-9E4A-AF05-CFE0F6F9E8EC}" srcOrd="0" destOrd="0" presId="urn:microsoft.com/office/officeart/2005/8/layout/hierarchy3"/>
    <dgm:cxn modelId="{CC4C37CE-E92C-4652-8336-5E004336592F}" type="presParOf" srcId="{6FDB5C58-6498-7648-8B60-5DADB2B8B706}" destId="{F806A694-28C9-FC44-98FE-68EC3509101B}" srcOrd="1" destOrd="0" presId="urn:microsoft.com/office/officeart/2005/8/layout/hierarchy3"/>
    <dgm:cxn modelId="{11781FE1-2374-47C4-8827-1D6BAEE4ED2A}" type="presParOf" srcId="{6FDB5C58-6498-7648-8B60-5DADB2B8B706}" destId="{8C9268A6-128B-AC4D-8514-7D8C2FB9C14C}" srcOrd="2" destOrd="0" presId="urn:microsoft.com/office/officeart/2005/8/layout/hierarchy3"/>
    <dgm:cxn modelId="{D5135FD6-44A0-436B-82D6-7A25F3923A78}" type="presParOf" srcId="{6FDB5C58-6498-7648-8B60-5DADB2B8B706}" destId="{9F29EB66-5328-0D45-9195-FB8384859814}" srcOrd="3" destOrd="0" presId="urn:microsoft.com/office/officeart/2005/8/layout/hierarchy3"/>
    <dgm:cxn modelId="{DDDA4F78-9644-4E0B-AA4B-BB2F798564B4}" type="presParOf" srcId="{F79EC234-961B-AE41-8E68-E28D37D01ED3}" destId="{74398473-3BD9-FD4C-BE7E-5BBA0323292C}" srcOrd="1" destOrd="0" presId="urn:microsoft.com/office/officeart/2005/8/layout/hierarchy3"/>
    <dgm:cxn modelId="{23F64D46-7845-4D8C-9E27-C21FD903470D}" type="presParOf" srcId="{74398473-3BD9-FD4C-BE7E-5BBA0323292C}" destId="{3D3AB9A5-FF95-5940-93E2-9DA9BDD07723}" srcOrd="0" destOrd="0" presId="urn:microsoft.com/office/officeart/2005/8/layout/hierarchy3"/>
    <dgm:cxn modelId="{C7EADFD7-F7E4-4789-B428-9CF702416613}" type="presParOf" srcId="{3D3AB9A5-FF95-5940-93E2-9DA9BDD07723}" destId="{0BAF59B4-2631-1547-B0FE-7C1F1CF46851}" srcOrd="0" destOrd="0" presId="urn:microsoft.com/office/officeart/2005/8/layout/hierarchy3"/>
    <dgm:cxn modelId="{09AAC129-DB82-4618-BA74-ABA766325835}" type="presParOf" srcId="{3D3AB9A5-FF95-5940-93E2-9DA9BDD07723}" destId="{AC41CA9A-EC4D-984A-A455-715FC754A78D}" srcOrd="1" destOrd="0" presId="urn:microsoft.com/office/officeart/2005/8/layout/hierarchy3"/>
    <dgm:cxn modelId="{C95783D2-65A2-446E-BBA9-3D8CA5F0B4DC}" type="presParOf" srcId="{74398473-3BD9-FD4C-BE7E-5BBA0323292C}" destId="{D2024ECC-D44B-404C-820D-54F40DF413B0}" srcOrd="1" destOrd="0" presId="urn:microsoft.com/office/officeart/2005/8/layout/hierarchy3"/>
    <dgm:cxn modelId="{F41131E2-3BDD-4D44-B02D-81E333A1C66D}" type="presParOf" srcId="{D2024ECC-D44B-404C-820D-54F40DF413B0}" destId="{EF1B4474-28CA-F34C-A578-AF50909513CD}" srcOrd="0" destOrd="0" presId="urn:microsoft.com/office/officeart/2005/8/layout/hierarchy3"/>
    <dgm:cxn modelId="{71F2D662-09D2-4F40-89CA-DEA7C478E7F6}" type="presParOf" srcId="{D2024ECC-D44B-404C-820D-54F40DF413B0}" destId="{E4EEC238-F01B-2A47-8126-50E3FA7AF412}" srcOrd="1" destOrd="0" presId="urn:microsoft.com/office/officeart/2005/8/layout/hierarchy3"/>
    <dgm:cxn modelId="{7D7BE152-F91F-42DE-8B7B-281CBCE6F7C7}" type="presParOf" srcId="{F79EC234-961B-AE41-8E68-E28D37D01ED3}" destId="{E826D3F6-102D-7444-8D7C-AD1E00474126}" srcOrd="2" destOrd="0" presId="urn:microsoft.com/office/officeart/2005/8/layout/hierarchy3"/>
    <dgm:cxn modelId="{06FB53A4-9798-4869-9A0B-0C7D13A7A76F}" type="presParOf" srcId="{E826D3F6-102D-7444-8D7C-AD1E00474126}" destId="{7D167517-346A-974D-A61F-A1ADC31A545C}" srcOrd="0" destOrd="0" presId="urn:microsoft.com/office/officeart/2005/8/layout/hierarchy3"/>
    <dgm:cxn modelId="{E6204055-A743-4D44-AA14-4D68460EABFC}" type="presParOf" srcId="{7D167517-346A-974D-A61F-A1ADC31A545C}" destId="{0EBCD300-DB11-B242-BCC7-25155DE39318}" srcOrd="0" destOrd="0" presId="urn:microsoft.com/office/officeart/2005/8/layout/hierarchy3"/>
    <dgm:cxn modelId="{F18F8A8E-D0DA-4ACC-9B5C-7117F7644EC8}" type="presParOf" srcId="{7D167517-346A-974D-A61F-A1ADC31A545C}" destId="{7F3E57E4-BE7F-0C43-B741-DA6998F51BBB}" srcOrd="1" destOrd="0" presId="urn:microsoft.com/office/officeart/2005/8/layout/hierarchy3"/>
    <dgm:cxn modelId="{DAAEFB11-E8EA-455D-8C39-C4DA1B539E2B}" type="presParOf" srcId="{E826D3F6-102D-7444-8D7C-AD1E00474126}" destId="{DF8EEC7D-8756-4E47-949F-09CC9F4C34AF}" srcOrd="1" destOrd="0" presId="urn:microsoft.com/office/officeart/2005/8/layout/hierarchy3"/>
    <dgm:cxn modelId="{6BEF0973-E38A-4202-B3C8-F5E390DE1507}" type="presParOf" srcId="{DF8EEC7D-8756-4E47-949F-09CC9F4C34AF}" destId="{820AC1D9-A0CD-7849-A0F2-D933C8F68931}" srcOrd="0" destOrd="0" presId="urn:microsoft.com/office/officeart/2005/8/layout/hierarchy3"/>
    <dgm:cxn modelId="{26800469-C789-4353-93F4-929BEACB923E}" type="presParOf" srcId="{DF8EEC7D-8756-4E47-949F-09CC9F4C34AF}" destId="{7E7A2C31-C938-E54E-AB2D-6733956EBA32}" srcOrd="1" destOrd="0" presId="urn:microsoft.com/office/officeart/2005/8/layout/hierarchy3"/>
    <dgm:cxn modelId="{14355439-016F-4222-AE2C-55D9F618B12B}" type="presParOf" srcId="{DF8EEC7D-8756-4E47-949F-09CC9F4C34AF}" destId="{FEE2FC25-CF5C-3840-93C9-3BAA21479208}" srcOrd="2" destOrd="0" presId="urn:microsoft.com/office/officeart/2005/8/layout/hierarchy3"/>
    <dgm:cxn modelId="{A1775497-EF05-4B4C-8B8B-3DDCA34512A9}" type="presParOf" srcId="{DF8EEC7D-8756-4E47-949F-09CC9F4C34AF}" destId="{C6C5942B-F930-5446-8009-8BEDE03A678A}" srcOrd="3" destOrd="0" presId="urn:microsoft.com/office/officeart/2005/8/layout/hierarchy3"/>
    <dgm:cxn modelId="{B50F0595-4998-4FCC-B906-E8D1703FB5CB}" type="presParOf" srcId="{F79EC234-961B-AE41-8E68-E28D37D01ED3}" destId="{31E5754A-E9B2-7B46-95F8-0DAEF8075BAF}" srcOrd="3" destOrd="0" presId="urn:microsoft.com/office/officeart/2005/8/layout/hierarchy3"/>
    <dgm:cxn modelId="{1B2AC4FC-1FF3-4EE9-97B7-5B83DE6D325E}" type="presParOf" srcId="{31E5754A-E9B2-7B46-95F8-0DAEF8075BAF}" destId="{35174050-2715-D847-8C04-481D4D3BC470}" srcOrd="0" destOrd="0" presId="urn:microsoft.com/office/officeart/2005/8/layout/hierarchy3"/>
    <dgm:cxn modelId="{0B77130A-FE58-49C2-A28E-58461DEABD16}" type="presParOf" srcId="{35174050-2715-D847-8C04-481D4D3BC470}" destId="{17204671-F916-8545-B038-4393A6DD7A49}" srcOrd="0" destOrd="0" presId="urn:microsoft.com/office/officeart/2005/8/layout/hierarchy3"/>
    <dgm:cxn modelId="{3ABDD717-5D63-4EAD-831D-DCFC57A821EB}" type="presParOf" srcId="{35174050-2715-D847-8C04-481D4D3BC470}" destId="{0AFE27CC-C0B3-9A43-BD2C-3EA98EB2C3D9}" srcOrd="1" destOrd="0" presId="urn:microsoft.com/office/officeart/2005/8/layout/hierarchy3"/>
    <dgm:cxn modelId="{8DEA51B9-33F8-4AA4-B7CE-21DA2D5B1501}" type="presParOf" srcId="{31E5754A-E9B2-7B46-95F8-0DAEF8075BAF}" destId="{CDD9C48F-5820-654C-A993-BC957A5DBC90}" srcOrd="1" destOrd="0" presId="urn:microsoft.com/office/officeart/2005/8/layout/hierarchy3"/>
    <dgm:cxn modelId="{0E28ECD8-E2AD-4385-80D1-C9850018D909}" type="presParOf" srcId="{CDD9C48F-5820-654C-A993-BC957A5DBC90}" destId="{4F8B63C3-6DE7-474E-AECC-80933437CD3E}" srcOrd="0" destOrd="0" presId="urn:microsoft.com/office/officeart/2005/8/layout/hierarchy3"/>
    <dgm:cxn modelId="{C2E4EE19-6168-4A40-AF90-1A315662938D}" type="presParOf" srcId="{CDD9C48F-5820-654C-A993-BC957A5DBC90}" destId="{89D2B8C4-B6BE-9340-B189-EF512733BEDB}" srcOrd="1" destOrd="0" presId="urn:microsoft.com/office/officeart/2005/8/layout/hierarchy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66A8E7E-79A3-F247-9466-D839AD73C4EB}" type="doc">
      <dgm:prSet loTypeId="urn:microsoft.com/office/officeart/2005/8/layout/hierarchy3" loCatId="" qsTypeId="urn:microsoft.com/office/officeart/2005/8/quickstyle/simple4" qsCatId="simple" csTypeId="urn:microsoft.com/office/officeart/2005/8/colors/accent1_2" csCatId="accent1" phldr="1"/>
      <dgm:spPr/>
      <dgm:t>
        <a:bodyPr/>
        <a:lstStyle/>
        <a:p>
          <a:endParaRPr lang="en-US"/>
        </a:p>
      </dgm:t>
    </dgm:pt>
    <dgm:pt modelId="{4B01D89F-5FAB-094A-8A97-D7B800CAA7E2}">
      <dgm:prSet phldrT="[Text]"/>
      <dgm:spPr/>
      <dgm:t>
        <a:bodyPr/>
        <a:lstStyle/>
        <a:p>
          <a:r>
            <a:rPr lang="en-US" i="1" dirty="0" smtClean="0">
              <a:latin typeface="+mj-lt"/>
            </a:rPr>
            <a:t>Energy Analysis of 108 Industrial Processes</a:t>
          </a:r>
          <a:r>
            <a:rPr lang="en-US" dirty="0" smtClean="0">
              <a:latin typeface="+mj-lt"/>
            </a:rPr>
            <a:t>	</a:t>
          </a:r>
          <a:endParaRPr lang="en-US" dirty="0">
            <a:latin typeface="+mj-lt"/>
          </a:endParaRPr>
        </a:p>
      </dgm:t>
    </dgm:pt>
    <dgm:pt modelId="{5890F4A0-EF8A-B94F-ABAF-2436B314F2D2}" type="parTrans" cxnId="{9C028C0D-6D1D-414E-98CB-DD12693EF9E3}">
      <dgm:prSet/>
      <dgm:spPr/>
      <dgm:t>
        <a:bodyPr/>
        <a:lstStyle/>
        <a:p>
          <a:endParaRPr lang="en-US"/>
        </a:p>
      </dgm:t>
    </dgm:pt>
    <dgm:pt modelId="{7DAE19CD-3023-2C42-BA15-3AD7BADA7FDA}" type="sibTrans" cxnId="{9C028C0D-6D1D-414E-98CB-DD12693EF9E3}">
      <dgm:prSet/>
      <dgm:spPr/>
      <dgm:t>
        <a:bodyPr/>
        <a:lstStyle/>
        <a:p>
          <a:endParaRPr lang="en-US"/>
        </a:p>
      </dgm:t>
    </dgm:pt>
    <dgm:pt modelId="{6E9473CA-3392-A84C-917E-2407169B5C63}">
      <dgm:prSet phldrT="[Text]"/>
      <dgm:spPr/>
      <dgm:t>
        <a:bodyPr/>
        <a:lstStyle/>
        <a:p>
          <a:r>
            <a:rPr lang="en-US" dirty="0" smtClean="0">
              <a:latin typeface="+mj-lt"/>
            </a:rPr>
            <a:t>MECS</a:t>
          </a:r>
          <a:endParaRPr lang="en-US" dirty="0">
            <a:latin typeface="+mj-lt"/>
          </a:endParaRPr>
        </a:p>
      </dgm:t>
    </dgm:pt>
    <dgm:pt modelId="{38D16FEB-B72E-F241-9713-486F6B6883F6}" type="parTrans" cxnId="{732CD562-AA23-C448-9F38-8889EC6BC739}">
      <dgm:prSet/>
      <dgm:spPr/>
      <dgm:t>
        <a:bodyPr/>
        <a:lstStyle/>
        <a:p>
          <a:endParaRPr lang="en-US"/>
        </a:p>
      </dgm:t>
    </dgm:pt>
    <dgm:pt modelId="{04F83375-7970-7D49-88B9-93489B4EF4CA}" type="sibTrans" cxnId="{732CD562-AA23-C448-9F38-8889EC6BC739}">
      <dgm:prSet/>
      <dgm:spPr/>
      <dgm:t>
        <a:bodyPr/>
        <a:lstStyle/>
        <a:p>
          <a:endParaRPr lang="en-US"/>
        </a:p>
      </dgm:t>
    </dgm:pt>
    <dgm:pt modelId="{8FB6CF90-5496-8C4F-9EC7-C41818FFB27F}">
      <dgm:prSet phldrT="[Text]"/>
      <dgm:spPr/>
      <dgm:t>
        <a:bodyPr/>
        <a:lstStyle/>
        <a:p>
          <a:r>
            <a:rPr lang="en-US" b="0" dirty="0" smtClean="0">
              <a:latin typeface="+mj-lt"/>
            </a:rPr>
            <a:t>County Business Patterns (CBP)</a:t>
          </a:r>
        </a:p>
      </dgm:t>
    </dgm:pt>
    <dgm:pt modelId="{ACBEE436-9910-3949-85A7-D27AB48A18A1}" type="parTrans" cxnId="{A2FA0259-5046-264D-8310-DA11DBE59A4F}">
      <dgm:prSet/>
      <dgm:spPr/>
      <dgm:t>
        <a:bodyPr/>
        <a:lstStyle/>
        <a:p>
          <a:endParaRPr lang="en-US"/>
        </a:p>
      </dgm:t>
    </dgm:pt>
    <dgm:pt modelId="{5355C4B7-77D9-3140-9212-1EA032E2AB96}" type="sibTrans" cxnId="{A2FA0259-5046-264D-8310-DA11DBE59A4F}">
      <dgm:prSet/>
      <dgm:spPr/>
      <dgm:t>
        <a:bodyPr/>
        <a:lstStyle/>
        <a:p>
          <a:endParaRPr lang="en-US"/>
        </a:p>
      </dgm:t>
    </dgm:pt>
    <dgm:pt modelId="{56F0106B-C8DD-6B46-9236-59265EE1C931}">
      <dgm:prSet phldrT="[Text]" custT="1"/>
      <dgm:spPr/>
      <dgm:t>
        <a:bodyPr/>
        <a:lstStyle/>
        <a:p>
          <a:r>
            <a:rPr lang="en-US" sz="800" b="1" dirty="0" smtClean="0">
              <a:latin typeface="+mj-lt"/>
            </a:rPr>
            <a:t>Total thermal demand for each 6-digit NAICS industry at county level (</a:t>
          </a:r>
          <a:r>
            <a:rPr lang="en-US" sz="800" b="1" dirty="0" err="1" smtClean="0">
              <a:latin typeface="+mj-lt"/>
            </a:rPr>
            <a:t>trillion Btu</a:t>
          </a:r>
          <a:r>
            <a:rPr lang="en-US" sz="800" b="1" dirty="0" smtClean="0">
              <a:latin typeface="+mj-lt"/>
            </a:rPr>
            <a:t>)</a:t>
          </a:r>
        </a:p>
      </dgm:t>
    </dgm:pt>
    <dgm:pt modelId="{BE65168D-5C15-5546-AF30-23D1DF2BC54C}" type="parTrans" cxnId="{A31A41C6-68F2-8C4B-85BF-A6D3EA50F899}">
      <dgm:prSet/>
      <dgm:spPr/>
      <dgm:t>
        <a:bodyPr/>
        <a:lstStyle/>
        <a:p>
          <a:endParaRPr lang="en-US">
            <a:latin typeface="+mj-lt"/>
          </a:endParaRPr>
        </a:p>
      </dgm:t>
    </dgm:pt>
    <dgm:pt modelId="{DAFE9CFF-C7D0-AD4C-A85A-2231B8A70F84}" type="sibTrans" cxnId="{A31A41C6-68F2-8C4B-85BF-A6D3EA50F899}">
      <dgm:prSet/>
      <dgm:spPr/>
      <dgm:t>
        <a:bodyPr/>
        <a:lstStyle/>
        <a:p>
          <a:endParaRPr lang="en-US"/>
        </a:p>
      </dgm:t>
    </dgm:pt>
    <dgm:pt modelId="{60E5FFC6-6E66-0746-A834-28BBE9C05748}">
      <dgm:prSet phldrT="[Text]" custT="1"/>
      <dgm:spPr/>
      <dgm:t>
        <a:bodyPr/>
        <a:lstStyle/>
        <a:p>
          <a:pPr>
            <a:spcAft>
              <a:spcPts val="0"/>
            </a:spcAft>
          </a:pPr>
          <a:r>
            <a:rPr lang="en-US" sz="800" b="1" dirty="0" smtClean="0">
              <a:latin typeface="+mj-lt"/>
            </a:rPr>
            <a:t>Total Process Heat Demand</a:t>
          </a:r>
        </a:p>
        <a:p>
          <a:pPr>
            <a:spcAft>
              <a:spcPts val="0"/>
            </a:spcAft>
          </a:pPr>
          <a:r>
            <a:rPr lang="en-US" sz="800" dirty="0" smtClean="0">
              <a:latin typeface="+mj-lt"/>
            </a:rPr>
            <a:t>(</a:t>
          </a:r>
          <a:r>
            <a:rPr lang="en-US" sz="800" i="1" dirty="0" smtClean="0">
              <a:latin typeface="+mj-lt"/>
            </a:rPr>
            <a:t>trillion Btu</a:t>
          </a:r>
          <a:r>
            <a:rPr lang="en-US" sz="800" dirty="0" smtClean="0">
              <a:latin typeface="+mj-lt"/>
            </a:rPr>
            <a:t>) </a:t>
          </a:r>
        </a:p>
        <a:p>
          <a:pPr>
            <a:spcAft>
              <a:spcPts val="0"/>
            </a:spcAft>
          </a:pPr>
          <a:r>
            <a:rPr lang="en-US" sz="800" dirty="0" smtClean="0">
              <a:latin typeface="+mj-lt"/>
            </a:rPr>
            <a:t>for 83 NAICS codes, ranging from the 3-digit to 6-digit level</a:t>
          </a:r>
          <a:endParaRPr lang="en-US" sz="800" dirty="0">
            <a:latin typeface="+mj-lt"/>
          </a:endParaRPr>
        </a:p>
      </dgm:t>
    </dgm:pt>
    <dgm:pt modelId="{7DFACEE8-22E7-244E-AA19-965B65693EEA}" type="sibTrans" cxnId="{85D851E6-7DD7-2E41-9920-45906A0A75BF}">
      <dgm:prSet/>
      <dgm:spPr/>
      <dgm:t>
        <a:bodyPr/>
        <a:lstStyle/>
        <a:p>
          <a:endParaRPr lang="en-US"/>
        </a:p>
      </dgm:t>
    </dgm:pt>
    <dgm:pt modelId="{831D04E7-F369-EC4E-9D6D-9D0B5EEBE339}" type="parTrans" cxnId="{85D851E6-7DD7-2E41-9920-45906A0A75BF}">
      <dgm:prSet/>
      <dgm:spPr/>
      <dgm:t>
        <a:bodyPr/>
        <a:lstStyle/>
        <a:p>
          <a:endParaRPr lang="en-US">
            <a:latin typeface="+mj-lt"/>
          </a:endParaRPr>
        </a:p>
      </dgm:t>
    </dgm:pt>
    <dgm:pt modelId="{68E76E60-9540-5C46-A59D-E9CDF11EFA5F}">
      <dgm:prSet phldrT="[Text]" custT="1"/>
      <dgm:spPr/>
      <dgm:t>
        <a:bodyPr/>
        <a:lstStyle/>
        <a:p>
          <a:pPr>
            <a:spcAft>
              <a:spcPts val="0"/>
            </a:spcAft>
          </a:pPr>
          <a:r>
            <a:rPr lang="en-US" sz="800" b="1" dirty="0">
              <a:latin typeface="+mj-lt"/>
            </a:rPr>
            <a:t>Process Steam Temperatures</a:t>
          </a:r>
        </a:p>
        <a:p>
          <a:pPr>
            <a:spcAft>
              <a:spcPts val="0"/>
            </a:spcAft>
          </a:pPr>
          <a:r>
            <a:rPr lang="en-US" sz="800" i="1" dirty="0">
              <a:latin typeface="+mj-lt"/>
            </a:rPr>
            <a:t>(</a:t>
          </a:r>
          <a:r>
            <a:rPr lang="en-US" sz="800" i="1"/>
            <a:t>°F / °C</a:t>
          </a:r>
          <a:r>
            <a:rPr lang="en-US" sz="800" i="1" dirty="0">
              <a:latin typeface="+mj-lt"/>
            </a:rPr>
            <a:t>) </a:t>
          </a:r>
        </a:p>
        <a:p>
          <a:pPr>
            <a:spcAft>
              <a:spcPts val="0"/>
            </a:spcAft>
          </a:pPr>
          <a:r>
            <a:rPr lang="en-US" sz="800" dirty="0">
              <a:latin typeface="+mj-lt"/>
            </a:rPr>
            <a:t>for 108 processes spanning 60 industries. Filters processes based on GVS temperature bounds.</a:t>
          </a:r>
        </a:p>
      </dgm:t>
    </dgm:pt>
    <dgm:pt modelId="{AE9465DE-2952-A143-A7D6-4B5743034769}" type="parTrans" cxnId="{B4E0C37E-8527-C84B-8FD8-810D05B5627E}">
      <dgm:prSet/>
      <dgm:spPr/>
      <dgm:t>
        <a:bodyPr/>
        <a:lstStyle/>
        <a:p>
          <a:endParaRPr lang="en-US"/>
        </a:p>
      </dgm:t>
    </dgm:pt>
    <dgm:pt modelId="{13C1208F-47EF-AC47-8588-D797377E0D3F}" type="sibTrans" cxnId="{B4E0C37E-8527-C84B-8FD8-810D05B5627E}">
      <dgm:prSet/>
      <dgm:spPr/>
      <dgm:t>
        <a:bodyPr/>
        <a:lstStyle/>
        <a:p>
          <a:endParaRPr lang="en-US"/>
        </a:p>
      </dgm:t>
    </dgm:pt>
    <dgm:pt modelId="{FC6F40EE-6942-C74C-A569-378F2B3609B9}">
      <dgm:prSet custT="1"/>
      <dgm:spPr/>
      <dgm:t>
        <a:bodyPr/>
        <a:lstStyle/>
        <a:p>
          <a:r>
            <a:rPr lang="en-US" sz="800" b="1" dirty="0" smtClean="0">
              <a:latin typeface="+mj-lt"/>
            </a:rPr>
            <a:t>Number of Establishments</a:t>
          </a:r>
        </a:p>
        <a:p>
          <a:r>
            <a:rPr lang="en-US" sz="800" b="0" dirty="0" smtClean="0">
              <a:latin typeface="+mj-lt"/>
            </a:rPr>
            <a:t>for same 83 NAICS codes, representing nationwide totals</a:t>
          </a:r>
        </a:p>
      </dgm:t>
    </dgm:pt>
    <dgm:pt modelId="{3EE1D788-F7DB-DC45-91C4-B0A9850674E7}" type="parTrans" cxnId="{D7F28674-F21F-ED49-9D5B-32172A40946E}">
      <dgm:prSet/>
      <dgm:spPr/>
      <dgm:t>
        <a:bodyPr/>
        <a:lstStyle/>
        <a:p>
          <a:endParaRPr lang="en-US"/>
        </a:p>
      </dgm:t>
    </dgm:pt>
    <dgm:pt modelId="{D20382F8-54CE-4C48-A2F2-E13559640740}" type="sibTrans" cxnId="{D7F28674-F21F-ED49-9D5B-32172A40946E}">
      <dgm:prSet/>
      <dgm:spPr/>
      <dgm:t>
        <a:bodyPr/>
        <a:lstStyle/>
        <a:p>
          <a:endParaRPr lang="en-US"/>
        </a:p>
      </dgm:t>
    </dgm:pt>
    <dgm:pt modelId="{370E3898-4425-E146-AACF-C7D583B48FB9}">
      <dgm:prSet phldrT="[Text]" custT="1"/>
      <dgm:spPr/>
      <dgm:t>
        <a:bodyPr/>
        <a:lstStyle/>
        <a:p>
          <a:r>
            <a:rPr lang="en-US" sz="800" b="1" dirty="0" smtClean="0">
              <a:latin typeface="+mj-lt"/>
            </a:rPr>
            <a:t>Number of Establishments by County</a:t>
          </a:r>
          <a:br>
            <a:rPr lang="en-US" sz="800" b="1" dirty="0" smtClean="0">
              <a:latin typeface="+mj-lt"/>
            </a:rPr>
          </a:br>
          <a:r>
            <a:rPr lang="en-US" sz="800" b="0" dirty="0" smtClean="0">
              <a:latin typeface="+mj-lt"/>
            </a:rPr>
            <a:t>for almost 1,000 unique 6-digit NAICS codes.</a:t>
          </a:r>
          <a:endParaRPr lang="en-US" sz="800" b="1" dirty="0" smtClean="0">
            <a:latin typeface="+mj-lt"/>
          </a:endParaRPr>
        </a:p>
      </dgm:t>
    </dgm:pt>
    <dgm:pt modelId="{2611BBFC-CDE1-5446-A297-1080502809C8}" type="sibTrans" cxnId="{FA746C2E-4B96-CE46-8AEF-FEE8FB494D47}">
      <dgm:prSet/>
      <dgm:spPr/>
      <dgm:t>
        <a:bodyPr/>
        <a:lstStyle/>
        <a:p>
          <a:endParaRPr lang="en-US"/>
        </a:p>
      </dgm:t>
    </dgm:pt>
    <dgm:pt modelId="{280EA3B1-2C94-ED4D-902C-2B0DC675C950}" type="parTrans" cxnId="{FA746C2E-4B96-CE46-8AEF-FEE8FB494D47}">
      <dgm:prSet/>
      <dgm:spPr/>
      <dgm:t>
        <a:bodyPr/>
        <a:lstStyle/>
        <a:p>
          <a:endParaRPr lang="en-US">
            <a:latin typeface="+mj-lt"/>
          </a:endParaRPr>
        </a:p>
      </dgm:t>
    </dgm:pt>
    <dgm:pt modelId="{F4346BFE-3738-8C40-9A40-3EBE80819B5B}">
      <dgm:prSet phldrT="[Text]"/>
      <dgm:spPr/>
      <dgm:t>
        <a:bodyPr/>
        <a:lstStyle/>
        <a:p>
          <a:r>
            <a:rPr lang="en-US" b="0" smtClean="0">
              <a:latin typeface="+mj-lt"/>
            </a:rPr>
            <a:t>Result</a:t>
          </a:r>
          <a:endParaRPr lang="en-US" b="0" dirty="0" smtClean="0">
            <a:latin typeface="+mj-lt"/>
          </a:endParaRPr>
        </a:p>
      </dgm:t>
    </dgm:pt>
    <dgm:pt modelId="{6DCFE57C-D236-484C-8910-BAC62B307D9E}" type="sibTrans" cxnId="{06DCDD86-C96B-694E-BFC8-B0A631A5F692}">
      <dgm:prSet/>
      <dgm:spPr/>
      <dgm:t>
        <a:bodyPr/>
        <a:lstStyle/>
        <a:p>
          <a:endParaRPr lang="en-US"/>
        </a:p>
      </dgm:t>
    </dgm:pt>
    <dgm:pt modelId="{6BEABC96-2938-154A-A7D3-96D766E57591}" type="parTrans" cxnId="{06DCDD86-C96B-694E-BFC8-B0A631A5F692}">
      <dgm:prSet/>
      <dgm:spPr/>
      <dgm:t>
        <a:bodyPr/>
        <a:lstStyle/>
        <a:p>
          <a:endParaRPr lang="en-US"/>
        </a:p>
      </dgm:t>
    </dgm:pt>
    <dgm:pt modelId="{F79EC234-961B-AE41-8E68-E28D37D01ED3}" type="pres">
      <dgm:prSet presAssocID="{466A8E7E-79A3-F247-9466-D839AD73C4EB}" presName="diagram" presStyleCnt="0">
        <dgm:presLayoutVars>
          <dgm:chPref val="1"/>
          <dgm:dir/>
          <dgm:animOne val="branch"/>
          <dgm:animLvl val="lvl"/>
          <dgm:resizeHandles/>
        </dgm:presLayoutVars>
      </dgm:prSet>
      <dgm:spPr/>
      <dgm:t>
        <a:bodyPr/>
        <a:lstStyle/>
        <a:p>
          <a:endParaRPr lang="en-US"/>
        </a:p>
      </dgm:t>
    </dgm:pt>
    <dgm:pt modelId="{416D6DCB-7250-6F48-A630-4CA0E792D791}" type="pres">
      <dgm:prSet presAssocID="{4B01D89F-5FAB-094A-8A97-D7B800CAA7E2}" presName="root" presStyleCnt="0"/>
      <dgm:spPr/>
    </dgm:pt>
    <dgm:pt modelId="{1A249D42-1241-E54F-892E-A1ACAE557819}" type="pres">
      <dgm:prSet presAssocID="{4B01D89F-5FAB-094A-8A97-D7B800CAA7E2}" presName="rootComposite" presStyleCnt="0"/>
      <dgm:spPr/>
    </dgm:pt>
    <dgm:pt modelId="{D608C9D7-CDDF-F74E-876F-AFCF6E3538A6}" type="pres">
      <dgm:prSet presAssocID="{4B01D89F-5FAB-094A-8A97-D7B800CAA7E2}" presName="rootText" presStyleLbl="node1" presStyleIdx="0" presStyleCnt="4"/>
      <dgm:spPr/>
      <dgm:t>
        <a:bodyPr/>
        <a:lstStyle/>
        <a:p>
          <a:endParaRPr lang="en-US"/>
        </a:p>
      </dgm:t>
    </dgm:pt>
    <dgm:pt modelId="{F3C70D81-1DF5-764D-B4EA-92159A7816C6}" type="pres">
      <dgm:prSet presAssocID="{4B01D89F-5FAB-094A-8A97-D7B800CAA7E2}" presName="rootConnector" presStyleLbl="node1" presStyleIdx="0" presStyleCnt="4"/>
      <dgm:spPr/>
      <dgm:t>
        <a:bodyPr/>
        <a:lstStyle/>
        <a:p>
          <a:endParaRPr lang="en-US"/>
        </a:p>
      </dgm:t>
    </dgm:pt>
    <dgm:pt modelId="{6FDB5C58-6498-7648-8B60-5DADB2B8B706}" type="pres">
      <dgm:prSet presAssocID="{4B01D89F-5FAB-094A-8A97-D7B800CAA7E2}" presName="childShape" presStyleCnt="0"/>
      <dgm:spPr/>
    </dgm:pt>
    <dgm:pt modelId="{A485D406-9C25-9E4A-AF05-CFE0F6F9E8EC}" type="pres">
      <dgm:prSet presAssocID="{AE9465DE-2952-A143-A7D6-4B5743034769}" presName="Name13" presStyleLbl="parChTrans1D2" presStyleIdx="0" presStyleCnt="5"/>
      <dgm:spPr/>
      <dgm:t>
        <a:bodyPr/>
        <a:lstStyle/>
        <a:p>
          <a:endParaRPr lang="en-US"/>
        </a:p>
      </dgm:t>
    </dgm:pt>
    <dgm:pt modelId="{F806A694-28C9-FC44-98FE-68EC3509101B}" type="pres">
      <dgm:prSet presAssocID="{68E76E60-9540-5C46-A59D-E9CDF11EFA5F}" presName="childText" presStyleLbl="bgAcc1" presStyleIdx="0" presStyleCnt="5" custScaleY="176556">
        <dgm:presLayoutVars>
          <dgm:bulletEnabled val="1"/>
        </dgm:presLayoutVars>
      </dgm:prSet>
      <dgm:spPr/>
      <dgm:t>
        <a:bodyPr/>
        <a:lstStyle/>
        <a:p>
          <a:endParaRPr lang="en-US"/>
        </a:p>
      </dgm:t>
    </dgm:pt>
    <dgm:pt modelId="{74398473-3BD9-FD4C-BE7E-5BBA0323292C}" type="pres">
      <dgm:prSet presAssocID="{6E9473CA-3392-A84C-917E-2407169B5C63}" presName="root" presStyleCnt="0"/>
      <dgm:spPr/>
    </dgm:pt>
    <dgm:pt modelId="{3D3AB9A5-FF95-5940-93E2-9DA9BDD07723}" type="pres">
      <dgm:prSet presAssocID="{6E9473CA-3392-A84C-917E-2407169B5C63}" presName="rootComposite" presStyleCnt="0"/>
      <dgm:spPr/>
    </dgm:pt>
    <dgm:pt modelId="{0BAF59B4-2631-1547-B0FE-7C1F1CF46851}" type="pres">
      <dgm:prSet presAssocID="{6E9473CA-3392-A84C-917E-2407169B5C63}" presName="rootText" presStyleLbl="node1" presStyleIdx="1" presStyleCnt="4"/>
      <dgm:spPr/>
      <dgm:t>
        <a:bodyPr/>
        <a:lstStyle/>
        <a:p>
          <a:endParaRPr lang="en-US"/>
        </a:p>
      </dgm:t>
    </dgm:pt>
    <dgm:pt modelId="{AC41CA9A-EC4D-984A-A455-715FC754A78D}" type="pres">
      <dgm:prSet presAssocID="{6E9473CA-3392-A84C-917E-2407169B5C63}" presName="rootConnector" presStyleLbl="node1" presStyleIdx="1" presStyleCnt="4"/>
      <dgm:spPr/>
      <dgm:t>
        <a:bodyPr/>
        <a:lstStyle/>
        <a:p>
          <a:endParaRPr lang="en-US"/>
        </a:p>
      </dgm:t>
    </dgm:pt>
    <dgm:pt modelId="{D2024ECC-D44B-404C-820D-54F40DF413B0}" type="pres">
      <dgm:prSet presAssocID="{6E9473CA-3392-A84C-917E-2407169B5C63}" presName="childShape" presStyleCnt="0"/>
      <dgm:spPr/>
    </dgm:pt>
    <dgm:pt modelId="{EF1B4474-28CA-F34C-A578-AF50909513CD}" type="pres">
      <dgm:prSet presAssocID="{831D04E7-F369-EC4E-9D6D-9D0B5EEBE339}" presName="Name13" presStyleLbl="parChTrans1D2" presStyleIdx="1" presStyleCnt="5"/>
      <dgm:spPr/>
      <dgm:t>
        <a:bodyPr/>
        <a:lstStyle/>
        <a:p>
          <a:endParaRPr lang="en-US"/>
        </a:p>
      </dgm:t>
    </dgm:pt>
    <dgm:pt modelId="{E4EEC238-F01B-2A47-8126-50E3FA7AF412}" type="pres">
      <dgm:prSet presAssocID="{60E5FFC6-6E66-0746-A834-28BBE9C05748}" presName="childText" presStyleLbl="bgAcc1" presStyleIdx="1" presStyleCnt="5" custScaleY="128369">
        <dgm:presLayoutVars>
          <dgm:bulletEnabled val="1"/>
        </dgm:presLayoutVars>
      </dgm:prSet>
      <dgm:spPr/>
      <dgm:t>
        <a:bodyPr/>
        <a:lstStyle/>
        <a:p>
          <a:endParaRPr lang="en-US"/>
        </a:p>
      </dgm:t>
    </dgm:pt>
    <dgm:pt modelId="{2340B19F-357B-BE4D-B4A0-44D45C71321E}" type="pres">
      <dgm:prSet presAssocID="{3EE1D788-F7DB-DC45-91C4-B0A9850674E7}" presName="Name13" presStyleLbl="parChTrans1D2" presStyleIdx="2" presStyleCnt="5"/>
      <dgm:spPr/>
      <dgm:t>
        <a:bodyPr/>
        <a:lstStyle/>
        <a:p>
          <a:endParaRPr lang="en-US"/>
        </a:p>
      </dgm:t>
    </dgm:pt>
    <dgm:pt modelId="{2FEF5E36-1B00-6745-95D3-8AF50779503A}" type="pres">
      <dgm:prSet presAssocID="{FC6F40EE-6942-C74C-A569-378F2B3609B9}" presName="childText" presStyleLbl="bgAcc1" presStyleIdx="2" presStyleCnt="5" custScaleY="107612">
        <dgm:presLayoutVars>
          <dgm:bulletEnabled val="1"/>
        </dgm:presLayoutVars>
      </dgm:prSet>
      <dgm:spPr/>
      <dgm:t>
        <a:bodyPr/>
        <a:lstStyle/>
        <a:p>
          <a:endParaRPr lang="en-US"/>
        </a:p>
      </dgm:t>
    </dgm:pt>
    <dgm:pt modelId="{E826D3F6-102D-7444-8D7C-AD1E00474126}" type="pres">
      <dgm:prSet presAssocID="{8FB6CF90-5496-8C4F-9EC7-C41818FFB27F}" presName="root" presStyleCnt="0"/>
      <dgm:spPr/>
    </dgm:pt>
    <dgm:pt modelId="{7D167517-346A-974D-A61F-A1ADC31A545C}" type="pres">
      <dgm:prSet presAssocID="{8FB6CF90-5496-8C4F-9EC7-C41818FFB27F}" presName="rootComposite" presStyleCnt="0"/>
      <dgm:spPr/>
    </dgm:pt>
    <dgm:pt modelId="{0EBCD300-DB11-B242-BCC7-25155DE39318}" type="pres">
      <dgm:prSet presAssocID="{8FB6CF90-5496-8C4F-9EC7-C41818FFB27F}" presName="rootText" presStyleLbl="node1" presStyleIdx="2" presStyleCnt="4"/>
      <dgm:spPr/>
      <dgm:t>
        <a:bodyPr/>
        <a:lstStyle/>
        <a:p>
          <a:endParaRPr lang="en-US"/>
        </a:p>
      </dgm:t>
    </dgm:pt>
    <dgm:pt modelId="{7F3E57E4-BE7F-0C43-B741-DA6998F51BBB}" type="pres">
      <dgm:prSet presAssocID="{8FB6CF90-5496-8C4F-9EC7-C41818FFB27F}" presName="rootConnector" presStyleLbl="node1" presStyleIdx="2" presStyleCnt="4"/>
      <dgm:spPr/>
      <dgm:t>
        <a:bodyPr/>
        <a:lstStyle/>
        <a:p>
          <a:endParaRPr lang="en-US"/>
        </a:p>
      </dgm:t>
    </dgm:pt>
    <dgm:pt modelId="{DF8EEC7D-8756-4E47-949F-09CC9F4C34AF}" type="pres">
      <dgm:prSet presAssocID="{8FB6CF90-5496-8C4F-9EC7-C41818FFB27F}" presName="childShape" presStyleCnt="0"/>
      <dgm:spPr/>
    </dgm:pt>
    <dgm:pt modelId="{820AC1D9-A0CD-7849-A0F2-D933C8F68931}" type="pres">
      <dgm:prSet presAssocID="{280EA3B1-2C94-ED4D-902C-2B0DC675C950}" presName="Name13" presStyleLbl="parChTrans1D2" presStyleIdx="3" presStyleCnt="5"/>
      <dgm:spPr/>
      <dgm:t>
        <a:bodyPr/>
        <a:lstStyle/>
        <a:p>
          <a:endParaRPr lang="en-US"/>
        </a:p>
      </dgm:t>
    </dgm:pt>
    <dgm:pt modelId="{7E7A2C31-C938-E54E-AB2D-6733956EBA32}" type="pres">
      <dgm:prSet presAssocID="{370E3898-4425-E146-AACF-C7D583B48FB9}" presName="childText" presStyleLbl="bgAcc1" presStyleIdx="3" presStyleCnt="5" custScaleY="144768">
        <dgm:presLayoutVars>
          <dgm:bulletEnabled val="1"/>
        </dgm:presLayoutVars>
      </dgm:prSet>
      <dgm:spPr/>
      <dgm:t>
        <a:bodyPr/>
        <a:lstStyle/>
        <a:p>
          <a:endParaRPr lang="en-US"/>
        </a:p>
      </dgm:t>
    </dgm:pt>
    <dgm:pt modelId="{31E5754A-E9B2-7B46-95F8-0DAEF8075BAF}" type="pres">
      <dgm:prSet presAssocID="{F4346BFE-3738-8C40-9A40-3EBE80819B5B}" presName="root" presStyleCnt="0"/>
      <dgm:spPr/>
    </dgm:pt>
    <dgm:pt modelId="{35174050-2715-D847-8C04-481D4D3BC470}" type="pres">
      <dgm:prSet presAssocID="{F4346BFE-3738-8C40-9A40-3EBE80819B5B}" presName="rootComposite" presStyleCnt="0"/>
      <dgm:spPr/>
    </dgm:pt>
    <dgm:pt modelId="{17204671-F916-8545-B038-4393A6DD7A49}" type="pres">
      <dgm:prSet presAssocID="{F4346BFE-3738-8C40-9A40-3EBE80819B5B}" presName="rootText" presStyleLbl="node1" presStyleIdx="3" presStyleCnt="4"/>
      <dgm:spPr/>
      <dgm:t>
        <a:bodyPr/>
        <a:lstStyle/>
        <a:p>
          <a:endParaRPr lang="en-US"/>
        </a:p>
      </dgm:t>
    </dgm:pt>
    <dgm:pt modelId="{0AFE27CC-C0B3-9A43-BD2C-3EA98EB2C3D9}" type="pres">
      <dgm:prSet presAssocID="{F4346BFE-3738-8C40-9A40-3EBE80819B5B}" presName="rootConnector" presStyleLbl="node1" presStyleIdx="3" presStyleCnt="4"/>
      <dgm:spPr/>
      <dgm:t>
        <a:bodyPr/>
        <a:lstStyle/>
        <a:p>
          <a:endParaRPr lang="en-US"/>
        </a:p>
      </dgm:t>
    </dgm:pt>
    <dgm:pt modelId="{CDD9C48F-5820-654C-A993-BC957A5DBC90}" type="pres">
      <dgm:prSet presAssocID="{F4346BFE-3738-8C40-9A40-3EBE80819B5B}" presName="childShape" presStyleCnt="0"/>
      <dgm:spPr/>
    </dgm:pt>
    <dgm:pt modelId="{4F8B63C3-6DE7-474E-AECC-80933437CD3E}" type="pres">
      <dgm:prSet presAssocID="{BE65168D-5C15-5546-AF30-23D1DF2BC54C}" presName="Name13" presStyleLbl="parChTrans1D2" presStyleIdx="4" presStyleCnt="5"/>
      <dgm:spPr/>
      <dgm:t>
        <a:bodyPr/>
        <a:lstStyle/>
        <a:p>
          <a:endParaRPr lang="en-US"/>
        </a:p>
      </dgm:t>
    </dgm:pt>
    <dgm:pt modelId="{89D2B8C4-B6BE-9340-B189-EF512733BEDB}" type="pres">
      <dgm:prSet presAssocID="{56F0106B-C8DD-6B46-9236-59265EE1C931}" presName="childText" presStyleLbl="bgAcc1" presStyleIdx="4" presStyleCnt="5">
        <dgm:presLayoutVars>
          <dgm:bulletEnabled val="1"/>
        </dgm:presLayoutVars>
      </dgm:prSet>
      <dgm:spPr/>
      <dgm:t>
        <a:bodyPr/>
        <a:lstStyle/>
        <a:p>
          <a:endParaRPr lang="en-US"/>
        </a:p>
      </dgm:t>
    </dgm:pt>
  </dgm:ptLst>
  <dgm:cxnLst>
    <dgm:cxn modelId="{ECC323C8-CD77-4753-939E-E9EACB50EE8F}" type="presOf" srcId="{60E5FFC6-6E66-0746-A834-28BBE9C05748}" destId="{E4EEC238-F01B-2A47-8126-50E3FA7AF412}" srcOrd="0" destOrd="0" presId="urn:microsoft.com/office/officeart/2005/8/layout/hierarchy3"/>
    <dgm:cxn modelId="{85D851E6-7DD7-2E41-9920-45906A0A75BF}" srcId="{6E9473CA-3392-A84C-917E-2407169B5C63}" destId="{60E5FFC6-6E66-0746-A834-28BBE9C05748}" srcOrd="0" destOrd="0" parTransId="{831D04E7-F369-EC4E-9D6D-9D0B5EEBE339}" sibTransId="{7DFACEE8-22E7-244E-AA19-965B65693EEA}"/>
    <dgm:cxn modelId="{39B6338E-5E70-43DD-95B9-3517973493D8}" type="presOf" srcId="{6E9473CA-3392-A84C-917E-2407169B5C63}" destId="{AC41CA9A-EC4D-984A-A455-715FC754A78D}" srcOrd="1" destOrd="0" presId="urn:microsoft.com/office/officeart/2005/8/layout/hierarchy3"/>
    <dgm:cxn modelId="{732CD562-AA23-C448-9F38-8889EC6BC739}" srcId="{466A8E7E-79A3-F247-9466-D839AD73C4EB}" destId="{6E9473CA-3392-A84C-917E-2407169B5C63}" srcOrd="1" destOrd="0" parTransId="{38D16FEB-B72E-F241-9713-486F6B6883F6}" sibTransId="{04F83375-7970-7D49-88B9-93489B4EF4CA}"/>
    <dgm:cxn modelId="{FA746C2E-4B96-CE46-8AEF-FEE8FB494D47}" srcId="{8FB6CF90-5496-8C4F-9EC7-C41818FFB27F}" destId="{370E3898-4425-E146-AACF-C7D583B48FB9}" srcOrd="0" destOrd="0" parTransId="{280EA3B1-2C94-ED4D-902C-2B0DC675C950}" sibTransId="{2611BBFC-CDE1-5446-A297-1080502809C8}"/>
    <dgm:cxn modelId="{A3C068D3-DF9C-4186-9789-DD75A579DBCD}" type="presOf" srcId="{6E9473CA-3392-A84C-917E-2407169B5C63}" destId="{0BAF59B4-2631-1547-B0FE-7C1F1CF46851}" srcOrd="0" destOrd="0" presId="urn:microsoft.com/office/officeart/2005/8/layout/hierarchy3"/>
    <dgm:cxn modelId="{6C76781B-F033-47D0-98CB-675DC30F4C84}" type="presOf" srcId="{8FB6CF90-5496-8C4F-9EC7-C41818FFB27F}" destId="{7F3E57E4-BE7F-0C43-B741-DA6998F51BBB}" srcOrd="1" destOrd="0" presId="urn:microsoft.com/office/officeart/2005/8/layout/hierarchy3"/>
    <dgm:cxn modelId="{C09FED54-E61F-4E66-9B8F-B14600D5C8F6}" type="presOf" srcId="{831D04E7-F369-EC4E-9D6D-9D0B5EEBE339}" destId="{EF1B4474-28CA-F34C-A578-AF50909513CD}" srcOrd="0" destOrd="0" presId="urn:microsoft.com/office/officeart/2005/8/layout/hierarchy3"/>
    <dgm:cxn modelId="{2AA62644-9523-47FF-99A2-864A383428B7}" type="presOf" srcId="{F4346BFE-3738-8C40-9A40-3EBE80819B5B}" destId="{0AFE27CC-C0B3-9A43-BD2C-3EA98EB2C3D9}" srcOrd="1" destOrd="0" presId="urn:microsoft.com/office/officeart/2005/8/layout/hierarchy3"/>
    <dgm:cxn modelId="{A2FA0259-5046-264D-8310-DA11DBE59A4F}" srcId="{466A8E7E-79A3-F247-9466-D839AD73C4EB}" destId="{8FB6CF90-5496-8C4F-9EC7-C41818FFB27F}" srcOrd="2" destOrd="0" parTransId="{ACBEE436-9910-3949-85A7-D27AB48A18A1}" sibTransId="{5355C4B7-77D9-3140-9212-1EA032E2AB96}"/>
    <dgm:cxn modelId="{E5B7B734-D922-428A-AC45-0AE474453226}" type="presOf" srcId="{68E76E60-9540-5C46-A59D-E9CDF11EFA5F}" destId="{F806A694-28C9-FC44-98FE-68EC3509101B}" srcOrd="0" destOrd="0" presId="urn:microsoft.com/office/officeart/2005/8/layout/hierarchy3"/>
    <dgm:cxn modelId="{B4E0C37E-8527-C84B-8FD8-810D05B5627E}" srcId="{4B01D89F-5FAB-094A-8A97-D7B800CAA7E2}" destId="{68E76E60-9540-5C46-A59D-E9CDF11EFA5F}" srcOrd="0" destOrd="0" parTransId="{AE9465DE-2952-A143-A7D6-4B5743034769}" sibTransId="{13C1208F-47EF-AC47-8588-D797377E0D3F}"/>
    <dgm:cxn modelId="{353A8D59-4C28-4D69-91EC-3EF3B30FC0DF}" type="presOf" srcId="{BE65168D-5C15-5546-AF30-23D1DF2BC54C}" destId="{4F8B63C3-6DE7-474E-AECC-80933437CD3E}" srcOrd="0" destOrd="0" presId="urn:microsoft.com/office/officeart/2005/8/layout/hierarchy3"/>
    <dgm:cxn modelId="{A31A41C6-68F2-8C4B-85BF-A6D3EA50F899}" srcId="{F4346BFE-3738-8C40-9A40-3EBE80819B5B}" destId="{56F0106B-C8DD-6B46-9236-59265EE1C931}" srcOrd="0" destOrd="0" parTransId="{BE65168D-5C15-5546-AF30-23D1DF2BC54C}" sibTransId="{DAFE9CFF-C7D0-AD4C-A85A-2231B8A70F84}"/>
    <dgm:cxn modelId="{2AC26228-CD29-455D-B5EF-4BA8C626289F}" type="presOf" srcId="{4B01D89F-5FAB-094A-8A97-D7B800CAA7E2}" destId="{F3C70D81-1DF5-764D-B4EA-92159A7816C6}" srcOrd="1" destOrd="0" presId="urn:microsoft.com/office/officeart/2005/8/layout/hierarchy3"/>
    <dgm:cxn modelId="{AFBCEFC5-8D68-4EAD-85EA-3D9FB70D907A}" type="presOf" srcId="{F4346BFE-3738-8C40-9A40-3EBE80819B5B}" destId="{17204671-F916-8545-B038-4393A6DD7A49}" srcOrd="0" destOrd="0" presId="urn:microsoft.com/office/officeart/2005/8/layout/hierarchy3"/>
    <dgm:cxn modelId="{2C4D89EB-5993-4A05-95E1-0B7CFA5A4999}" type="presOf" srcId="{466A8E7E-79A3-F247-9466-D839AD73C4EB}" destId="{F79EC234-961B-AE41-8E68-E28D37D01ED3}" srcOrd="0" destOrd="0" presId="urn:microsoft.com/office/officeart/2005/8/layout/hierarchy3"/>
    <dgm:cxn modelId="{9C028C0D-6D1D-414E-98CB-DD12693EF9E3}" srcId="{466A8E7E-79A3-F247-9466-D839AD73C4EB}" destId="{4B01D89F-5FAB-094A-8A97-D7B800CAA7E2}" srcOrd="0" destOrd="0" parTransId="{5890F4A0-EF8A-B94F-ABAF-2436B314F2D2}" sibTransId="{7DAE19CD-3023-2C42-BA15-3AD7BADA7FDA}"/>
    <dgm:cxn modelId="{25CC79F0-BABA-4950-872E-1C116659D2FD}" type="presOf" srcId="{4B01D89F-5FAB-094A-8A97-D7B800CAA7E2}" destId="{D608C9D7-CDDF-F74E-876F-AFCF6E3538A6}" srcOrd="0" destOrd="0" presId="urn:microsoft.com/office/officeart/2005/8/layout/hierarchy3"/>
    <dgm:cxn modelId="{8F9BE37B-1CFB-48A1-AF52-C0DD4D361246}" type="presOf" srcId="{AE9465DE-2952-A143-A7D6-4B5743034769}" destId="{A485D406-9C25-9E4A-AF05-CFE0F6F9E8EC}" srcOrd="0" destOrd="0" presId="urn:microsoft.com/office/officeart/2005/8/layout/hierarchy3"/>
    <dgm:cxn modelId="{0F6B6530-CE12-4DFB-9D0C-CDE1D3340BFE}" type="presOf" srcId="{56F0106B-C8DD-6B46-9236-59265EE1C931}" destId="{89D2B8C4-B6BE-9340-B189-EF512733BEDB}" srcOrd="0" destOrd="0" presId="urn:microsoft.com/office/officeart/2005/8/layout/hierarchy3"/>
    <dgm:cxn modelId="{D7F28674-F21F-ED49-9D5B-32172A40946E}" srcId="{6E9473CA-3392-A84C-917E-2407169B5C63}" destId="{FC6F40EE-6942-C74C-A569-378F2B3609B9}" srcOrd="1" destOrd="0" parTransId="{3EE1D788-F7DB-DC45-91C4-B0A9850674E7}" sibTransId="{D20382F8-54CE-4C48-A2F2-E13559640740}"/>
    <dgm:cxn modelId="{1FD6E07B-29AF-42B2-B6BD-8819D6821F94}" type="presOf" srcId="{370E3898-4425-E146-AACF-C7D583B48FB9}" destId="{7E7A2C31-C938-E54E-AB2D-6733956EBA32}" srcOrd="0" destOrd="0" presId="urn:microsoft.com/office/officeart/2005/8/layout/hierarchy3"/>
    <dgm:cxn modelId="{EB118E50-ADEE-4D5B-8476-AEAB8CF7775C}" type="presOf" srcId="{3EE1D788-F7DB-DC45-91C4-B0A9850674E7}" destId="{2340B19F-357B-BE4D-B4A0-44D45C71321E}" srcOrd="0" destOrd="0" presId="urn:microsoft.com/office/officeart/2005/8/layout/hierarchy3"/>
    <dgm:cxn modelId="{F0801104-067A-42F4-95E9-9AEF16758100}" type="presOf" srcId="{FC6F40EE-6942-C74C-A569-378F2B3609B9}" destId="{2FEF5E36-1B00-6745-95D3-8AF50779503A}" srcOrd="0" destOrd="0" presId="urn:microsoft.com/office/officeart/2005/8/layout/hierarchy3"/>
    <dgm:cxn modelId="{0843351B-8B28-4DCD-94F0-EE9D68AE6665}" type="presOf" srcId="{8FB6CF90-5496-8C4F-9EC7-C41818FFB27F}" destId="{0EBCD300-DB11-B242-BCC7-25155DE39318}" srcOrd="0" destOrd="0" presId="urn:microsoft.com/office/officeart/2005/8/layout/hierarchy3"/>
    <dgm:cxn modelId="{D766C103-3102-4928-A155-4CF2375368EF}" type="presOf" srcId="{280EA3B1-2C94-ED4D-902C-2B0DC675C950}" destId="{820AC1D9-A0CD-7849-A0F2-D933C8F68931}" srcOrd="0" destOrd="0" presId="urn:microsoft.com/office/officeart/2005/8/layout/hierarchy3"/>
    <dgm:cxn modelId="{06DCDD86-C96B-694E-BFC8-B0A631A5F692}" srcId="{466A8E7E-79A3-F247-9466-D839AD73C4EB}" destId="{F4346BFE-3738-8C40-9A40-3EBE80819B5B}" srcOrd="3" destOrd="0" parTransId="{6BEABC96-2938-154A-A7D3-96D766E57591}" sibTransId="{6DCFE57C-D236-484C-8910-BAC62B307D9E}"/>
    <dgm:cxn modelId="{00937623-4E49-4EA2-92FD-0006D3E8A57B}" type="presParOf" srcId="{F79EC234-961B-AE41-8E68-E28D37D01ED3}" destId="{416D6DCB-7250-6F48-A630-4CA0E792D791}" srcOrd="0" destOrd="0" presId="urn:microsoft.com/office/officeart/2005/8/layout/hierarchy3"/>
    <dgm:cxn modelId="{E5024FED-4F3C-4DBC-A714-0325439FB526}" type="presParOf" srcId="{416D6DCB-7250-6F48-A630-4CA0E792D791}" destId="{1A249D42-1241-E54F-892E-A1ACAE557819}" srcOrd="0" destOrd="0" presId="urn:microsoft.com/office/officeart/2005/8/layout/hierarchy3"/>
    <dgm:cxn modelId="{315EDA46-81F1-4609-9C70-1DEA3D9405D0}" type="presParOf" srcId="{1A249D42-1241-E54F-892E-A1ACAE557819}" destId="{D608C9D7-CDDF-F74E-876F-AFCF6E3538A6}" srcOrd="0" destOrd="0" presId="urn:microsoft.com/office/officeart/2005/8/layout/hierarchy3"/>
    <dgm:cxn modelId="{28A357F3-CE75-45E8-9CC2-E23B55144F5E}" type="presParOf" srcId="{1A249D42-1241-E54F-892E-A1ACAE557819}" destId="{F3C70D81-1DF5-764D-B4EA-92159A7816C6}" srcOrd="1" destOrd="0" presId="urn:microsoft.com/office/officeart/2005/8/layout/hierarchy3"/>
    <dgm:cxn modelId="{CB2EDDB9-D01C-4E91-B62B-F60FDD649A3A}" type="presParOf" srcId="{416D6DCB-7250-6F48-A630-4CA0E792D791}" destId="{6FDB5C58-6498-7648-8B60-5DADB2B8B706}" srcOrd="1" destOrd="0" presId="urn:microsoft.com/office/officeart/2005/8/layout/hierarchy3"/>
    <dgm:cxn modelId="{440D6AED-CA02-444B-94B6-60C7C71E7453}" type="presParOf" srcId="{6FDB5C58-6498-7648-8B60-5DADB2B8B706}" destId="{A485D406-9C25-9E4A-AF05-CFE0F6F9E8EC}" srcOrd="0" destOrd="0" presId="urn:microsoft.com/office/officeart/2005/8/layout/hierarchy3"/>
    <dgm:cxn modelId="{E8DFFAD8-9365-46D6-BA8E-F1183A86F6E0}" type="presParOf" srcId="{6FDB5C58-6498-7648-8B60-5DADB2B8B706}" destId="{F806A694-28C9-FC44-98FE-68EC3509101B}" srcOrd="1" destOrd="0" presId="urn:microsoft.com/office/officeart/2005/8/layout/hierarchy3"/>
    <dgm:cxn modelId="{17394BD9-F090-4492-AF04-A27AAF14CA9E}" type="presParOf" srcId="{F79EC234-961B-AE41-8E68-E28D37D01ED3}" destId="{74398473-3BD9-FD4C-BE7E-5BBA0323292C}" srcOrd="1" destOrd="0" presId="urn:microsoft.com/office/officeart/2005/8/layout/hierarchy3"/>
    <dgm:cxn modelId="{32BDAEB5-2E53-45BC-AD8B-EFA82B4ABA9C}" type="presParOf" srcId="{74398473-3BD9-FD4C-BE7E-5BBA0323292C}" destId="{3D3AB9A5-FF95-5940-93E2-9DA9BDD07723}" srcOrd="0" destOrd="0" presId="urn:microsoft.com/office/officeart/2005/8/layout/hierarchy3"/>
    <dgm:cxn modelId="{46F76B37-BAA4-4BC5-AB87-000C02D7F627}" type="presParOf" srcId="{3D3AB9A5-FF95-5940-93E2-9DA9BDD07723}" destId="{0BAF59B4-2631-1547-B0FE-7C1F1CF46851}" srcOrd="0" destOrd="0" presId="urn:microsoft.com/office/officeart/2005/8/layout/hierarchy3"/>
    <dgm:cxn modelId="{333E52A6-29AA-45A7-AD59-BC542AC9AF48}" type="presParOf" srcId="{3D3AB9A5-FF95-5940-93E2-9DA9BDD07723}" destId="{AC41CA9A-EC4D-984A-A455-715FC754A78D}" srcOrd="1" destOrd="0" presId="urn:microsoft.com/office/officeart/2005/8/layout/hierarchy3"/>
    <dgm:cxn modelId="{39ABE5E1-388E-417E-911E-8FA6B26FBF9D}" type="presParOf" srcId="{74398473-3BD9-FD4C-BE7E-5BBA0323292C}" destId="{D2024ECC-D44B-404C-820D-54F40DF413B0}" srcOrd="1" destOrd="0" presId="urn:microsoft.com/office/officeart/2005/8/layout/hierarchy3"/>
    <dgm:cxn modelId="{A7A6B41D-E9FC-405A-84D3-21020116A02F}" type="presParOf" srcId="{D2024ECC-D44B-404C-820D-54F40DF413B0}" destId="{EF1B4474-28CA-F34C-A578-AF50909513CD}" srcOrd="0" destOrd="0" presId="urn:microsoft.com/office/officeart/2005/8/layout/hierarchy3"/>
    <dgm:cxn modelId="{D33C2AE6-6253-41C5-9D4D-94169CDAD809}" type="presParOf" srcId="{D2024ECC-D44B-404C-820D-54F40DF413B0}" destId="{E4EEC238-F01B-2A47-8126-50E3FA7AF412}" srcOrd="1" destOrd="0" presId="urn:microsoft.com/office/officeart/2005/8/layout/hierarchy3"/>
    <dgm:cxn modelId="{CFE5351F-F422-4806-9440-751DFB4A546D}" type="presParOf" srcId="{D2024ECC-D44B-404C-820D-54F40DF413B0}" destId="{2340B19F-357B-BE4D-B4A0-44D45C71321E}" srcOrd="2" destOrd="0" presId="urn:microsoft.com/office/officeart/2005/8/layout/hierarchy3"/>
    <dgm:cxn modelId="{57B8A75F-B92C-46F3-B348-317B89381723}" type="presParOf" srcId="{D2024ECC-D44B-404C-820D-54F40DF413B0}" destId="{2FEF5E36-1B00-6745-95D3-8AF50779503A}" srcOrd="3" destOrd="0" presId="urn:microsoft.com/office/officeart/2005/8/layout/hierarchy3"/>
    <dgm:cxn modelId="{39899D80-4583-43AA-B74D-D42B23363EFD}" type="presParOf" srcId="{F79EC234-961B-AE41-8E68-E28D37D01ED3}" destId="{E826D3F6-102D-7444-8D7C-AD1E00474126}" srcOrd="2" destOrd="0" presId="urn:microsoft.com/office/officeart/2005/8/layout/hierarchy3"/>
    <dgm:cxn modelId="{2C88FB0D-A62E-4778-9B76-65FE4F698767}" type="presParOf" srcId="{E826D3F6-102D-7444-8D7C-AD1E00474126}" destId="{7D167517-346A-974D-A61F-A1ADC31A545C}" srcOrd="0" destOrd="0" presId="urn:microsoft.com/office/officeart/2005/8/layout/hierarchy3"/>
    <dgm:cxn modelId="{0A3B6916-5E0A-46EC-99ED-D312B2896704}" type="presParOf" srcId="{7D167517-346A-974D-A61F-A1ADC31A545C}" destId="{0EBCD300-DB11-B242-BCC7-25155DE39318}" srcOrd="0" destOrd="0" presId="urn:microsoft.com/office/officeart/2005/8/layout/hierarchy3"/>
    <dgm:cxn modelId="{6EB0F3C3-81CF-4F09-ADA4-8ECB4DB96FC2}" type="presParOf" srcId="{7D167517-346A-974D-A61F-A1ADC31A545C}" destId="{7F3E57E4-BE7F-0C43-B741-DA6998F51BBB}" srcOrd="1" destOrd="0" presId="urn:microsoft.com/office/officeart/2005/8/layout/hierarchy3"/>
    <dgm:cxn modelId="{E4E96232-181C-4247-9C99-C24026D555AE}" type="presParOf" srcId="{E826D3F6-102D-7444-8D7C-AD1E00474126}" destId="{DF8EEC7D-8756-4E47-949F-09CC9F4C34AF}" srcOrd="1" destOrd="0" presId="urn:microsoft.com/office/officeart/2005/8/layout/hierarchy3"/>
    <dgm:cxn modelId="{59183A63-71E3-4730-A0A6-ED53BB3913A2}" type="presParOf" srcId="{DF8EEC7D-8756-4E47-949F-09CC9F4C34AF}" destId="{820AC1D9-A0CD-7849-A0F2-D933C8F68931}" srcOrd="0" destOrd="0" presId="urn:microsoft.com/office/officeart/2005/8/layout/hierarchy3"/>
    <dgm:cxn modelId="{846FF236-DF36-4732-A2C0-BE56768F9884}" type="presParOf" srcId="{DF8EEC7D-8756-4E47-949F-09CC9F4C34AF}" destId="{7E7A2C31-C938-E54E-AB2D-6733956EBA32}" srcOrd="1" destOrd="0" presId="urn:microsoft.com/office/officeart/2005/8/layout/hierarchy3"/>
    <dgm:cxn modelId="{F667AAB6-F1B3-4980-B36C-DE99C1C9F6C1}" type="presParOf" srcId="{F79EC234-961B-AE41-8E68-E28D37D01ED3}" destId="{31E5754A-E9B2-7B46-95F8-0DAEF8075BAF}" srcOrd="3" destOrd="0" presId="urn:microsoft.com/office/officeart/2005/8/layout/hierarchy3"/>
    <dgm:cxn modelId="{584A6AD0-7639-4003-A13F-7E8D3F4716B6}" type="presParOf" srcId="{31E5754A-E9B2-7B46-95F8-0DAEF8075BAF}" destId="{35174050-2715-D847-8C04-481D4D3BC470}" srcOrd="0" destOrd="0" presId="urn:microsoft.com/office/officeart/2005/8/layout/hierarchy3"/>
    <dgm:cxn modelId="{AADAA496-393C-470B-A1E0-1BDCDD411DE6}" type="presParOf" srcId="{35174050-2715-D847-8C04-481D4D3BC470}" destId="{17204671-F916-8545-B038-4393A6DD7A49}" srcOrd="0" destOrd="0" presId="urn:microsoft.com/office/officeart/2005/8/layout/hierarchy3"/>
    <dgm:cxn modelId="{E936945F-B8C8-46C0-AAD8-83BD082D411F}" type="presParOf" srcId="{35174050-2715-D847-8C04-481D4D3BC470}" destId="{0AFE27CC-C0B3-9A43-BD2C-3EA98EB2C3D9}" srcOrd="1" destOrd="0" presId="urn:microsoft.com/office/officeart/2005/8/layout/hierarchy3"/>
    <dgm:cxn modelId="{8F9E2A78-A2C2-4F7C-9AB3-2918DFD18F4C}" type="presParOf" srcId="{31E5754A-E9B2-7B46-95F8-0DAEF8075BAF}" destId="{CDD9C48F-5820-654C-A993-BC957A5DBC90}" srcOrd="1" destOrd="0" presId="urn:microsoft.com/office/officeart/2005/8/layout/hierarchy3"/>
    <dgm:cxn modelId="{9D748ECF-44FE-4C00-8EF3-C96CAD1D6C4D}" type="presParOf" srcId="{CDD9C48F-5820-654C-A993-BC957A5DBC90}" destId="{4F8B63C3-6DE7-474E-AECC-80933437CD3E}" srcOrd="0" destOrd="0" presId="urn:microsoft.com/office/officeart/2005/8/layout/hierarchy3"/>
    <dgm:cxn modelId="{B5AB322D-3D4C-4794-8263-5483FDA2E082}" type="presParOf" srcId="{CDD9C48F-5820-654C-A993-BC957A5DBC90}" destId="{89D2B8C4-B6BE-9340-B189-EF512733BEDB}" srcOrd="1" destOrd="0" presId="urn:microsoft.com/office/officeart/2005/8/layout/hierarchy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097057-3F52-F54F-9EC2-2D97DB98639D}">
      <dsp:nvSpPr>
        <dsp:cNvPr id="0" name=""/>
        <dsp:cNvSpPr/>
      </dsp:nvSpPr>
      <dsp:spPr>
        <a:xfrm>
          <a:off x="1584498" y="142349"/>
          <a:ext cx="1165820" cy="297247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smtClean="0">
              <a:latin typeface="+mj-lt"/>
            </a:rPr>
            <a:t>PBA Plus</a:t>
          </a:r>
          <a:endParaRPr lang="en-US" sz="1400" kern="1200" dirty="0">
            <a:latin typeface="+mj-lt"/>
          </a:endParaRPr>
        </a:p>
      </dsp:txBody>
      <dsp:txXfrm>
        <a:off x="1584498" y="142349"/>
        <a:ext cx="1165820" cy="891741"/>
      </dsp:txXfrm>
    </dsp:sp>
    <dsp:sp modelId="{9D801A24-57C9-9940-9113-30E15DEAD497}">
      <dsp:nvSpPr>
        <dsp:cNvPr id="0" name=""/>
        <dsp:cNvSpPr/>
      </dsp:nvSpPr>
      <dsp:spPr>
        <a:xfrm>
          <a:off x="224374" y="142349"/>
          <a:ext cx="1165820" cy="297247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smtClean="0">
              <a:latin typeface="+mj-lt"/>
            </a:rPr>
            <a:t>PBA</a:t>
          </a:r>
          <a:endParaRPr lang="en-US" sz="3200" kern="1200" dirty="0">
            <a:latin typeface="+mj-lt"/>
          </a:endParaRPr>
        </a:p>
      </dsp:txBody>
      <dsp:txXfrm>
        <a:off x="224374" y="142349"/>
        <a:ext cx="1165820" cy="891741"/>
      </dsp:txXfrm>
    </dsp:sp>
    <dsp:sp modelId="{F1B21478-79B0-0049-A3B3-8F2C481B08DF}">
      <dsp:nvSpPr>
        <dsp:cNvPr id="0" name=""/>
        <dsp:cNvSpPr/>
      </dsp:nvSpPr>
      <dsp:spPr>
        <a:xfrm>
          <a:off x="321526" y="1696072"/>
          <a:ext cx="971517" cy="48575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j-lt"/>
            </a:rPr>
            <a:t>Lodging</a:t>
          </a:r>
          <a:endParaRPr lang="en-US" sz="900" kern="1200" dirty="0">
            <a:latin typeface="+mj-lt"/>
          </a:endParaRPr>
        </a:p>
      </dsp:txBody>
      <dsp:txXfrm>
        <a:off x="335753" y="1710299"/>
        <a:ext cx="943063" cy="457304"/>
      </dsp:txXfrm>
    </dsp:sp>
    <dsp:sp modelId="{D68EB364-5EED-5A47-8679-B4E3F01E1CF8}">
      <dsp:nvSpPr>
        <dsp:cNvPr id="0" name=""/>
        <dsp:cNvSpPr/>
      </dsp:nvSpPr>
      <dsp:spPr>
        <a:xfrm rot="17623578">
          <a:off x="1004447" y="1483530"/>
          <a:ext cx="965799" cy="26674"/>
        </a:xfrm>
        <a:custGeom>
          <a:avLst/>
          <a:gdLst/>
          <a:ahLst/>
          <a:cxnLst/>
          <a:rect l="0" t="0" r="0" b="0"/>
          <a:pathLst>
            <a:path>
              <a:moveTo>
                <a:pt x="0" y="13337"/>
              </a:moveTo>
              <a:lnTo>
                <a:pt x="965799" y="133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latin typeface="+mj-lt"/>
          </a:endParaRPr>
        </a:p>
      </dsp:txBody>
      <dsp:txXfrm>
        <a:off x="1463202" y="1472722"/>
        <a:ext cx="48289" cy="48289"/>
      </dsp:txXfrm>
    </dsp:sp>
    <dsp:sp modelId="{AB9B21C0-6279-A84F-8C84-9FEFE15AF40A}">
      <dsp:nvSpPr>
        <dsp:cNvPr id="0" name=""/>
        <dsp:cNvSpPr/>
      </dsp:nvSpPr>
      <dsp:spPr>
        <a:xfrm>
          <a:off x="1681650" y="811904"/>
          <a:ext cx="971517" cy="48575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j-lt"/>
            </a:rPr>
            <a:t>Dormitory/ fraternity/</a:t>
          </a:r>
          <a:br>
            <a:rPr lang="en-US" sz="900" kern="1200" dirty="0" smtClean="0">
              <a:latin typeface="+mj-lt"/>
            </a:rPr>
          </a:br>
          <a:r>
            <a:rPr lang="en-US" sz="900" kern="1200" dirty="0" smtClean="0">
              <a:latin typeface="+mj-lt"/>
            </a:rPr>
            <a:t>sorority</a:t>
          </a:r>
        </a:p>
      </dsp:txBody>
      <dsp:txXfrm>
        <a:off x="1695877" y="826131"/>
        <a:ext cx="943063" cy="457304"/>
      </dsp:txXfrm>
    </dsp:sp>
    <dsp:sp modelId="{9EB6E4AF-C2A3-1144-B925-8BFC159B245A}">
      <dsp:nvSpPr>
        <dsp:cNvPr id="0" name=""/>
        <dsp:cNvSpPr/>
      </dsp:nvSpPr>
      <dsp:spPr>
        <a:xfrm rot="19263811">
          <a:off x="1237549" y="1768626"/>
          <a:ext cx="499595" cy="26674"/>
        </a:xfrm>
        <a:custGeom>
          <a:avLst/>
          <a:gdLst/>
          <a:ahLst/>
          <a:cxnLst/>
          <a:rect l="0" t="0" r="0" b="0"/>
          <a:pathLst>
            <a:path>
              <a:moveTo>
                <a:pt x="0" y="13337"/>
              </a:moveTo>
              <a:lnTo>
                <a:pt x="499595" y="133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latin typeface="+mj-lt"/>
          </a:endParaRPr>
        </a:p>
      </dsp:txBody>
      <dsp:txXfrm>
        <a:off x="1474857" y="1769474"/>
        <a:ext cx="24979" cy="24979"/>
      </dsp:txXfrm>
    </dsp:sp>
    <dsp:sp modelId="{E75965DA-767D-3E41-9316-DF9E38392205}">
      <dsp:nvSpPr>
        <dsp:cNvPr id="0" name=""/>
        <dsp:cNvSpPr/>
      </dsp:nvSpPr>
      <dsp:spPr>
        <a:xfrm>
          <a:off x="1681650" y="1382097"/>
          <a:ext cx="971517" cy="48575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j-lt"/>
            </a:rPr>
            <a:t>Hotel</a:t>
          </a:r>
          <a:endParaRPr lang="en-US" sz="900" kern="1200" dirty="0">
            <a:latin typeface="+mj-lt"/>
          </a:endParaRPr>
        </a:p>
      </dsp:txBody>
      <dsp:txXfrm>
        <a:off x="1695877" y="1396324"/>
        <a:ext cx="943063" cy="457304"/>
      </dsp:txXfrm>
    </dsp:sp>
    <dsp:sp modelId="{FFE6A3F1-4C92-B544-9FEC-DD51009E7828}">
      <dsp:nvSpPr>
        <dsp:cNvPr id="0" name=""/>
        <dsp:cNvSpPr/>
      </dsp:nvSpPr>
      <dsp:spPr>
        <a:xfrm rot="3934332">
          <a:off x="1023920" y="2343434"/>
          <a:ext cx="917799" cy="26674"/>
        </a:xfrm>
        <a:custGeom>
          <a:avLst/>
          <a:gdLst/>
          <a:ahLst/>
          <a:cxnLst/>
          <a:rect l="0" t="0" r="0" b="0"/>
          <a:pathLst>
            <a:path>
              <a:moveTo>
                <a:pt x="0" y="13337"/>
              </a:moveTo>
              <a:lnTo>
                <a:pt x="917799" y="133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latin typeface="+mj-lt"/>
          </a:endParaRPr>
        </a:p>
      </dsp:txBody>
      <dsp:txXfrm>
        <a:off x="1459874" y="2333826"/>
        <a:ext cx="45889" cy="45889"/>
      </dsp:txXfrm>
    </dsp:sp>
    <dsp:sp modelId="{898E93A3-AD28-F54F-A4CD-39A8E2256D8E}">
      <dsp:nvSpPr>
        <dsp:cNvPr id="0" name=""/>
        <dsp:cNvSpPr/>
      </dsp:nvSpPr>
      <dsp:spPr>
        <a:xfrm>
          <a:off x="1672595" y="2531713"/>
          <a:ext cx="971517" cy="48575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j-lt"/>
            </a:rPr>
            <a:t>Motel/inn</a:t>
          </a:r>
          <a:endParaRPr lang="en-US" sz="900" kern="1200" dirty="0">
            <a:latin typeface="+mj-lt"/>
          </a:endParaRPr>
        </a:p>
      </dsp:txBody>
      <dsp:txXfrm>
        <a:off x="1686822" y="2545940"/>
        <a:ext cx="943063" cy="457304"/>
      </dsp:txXfrm>
    </dsp:sp>
    <dsp:sp modelId="{38F0B48A-4ACD-164E-B31D-3190F6574068}">
      <dsp:nvSpPr>
        <dsp:cNvPr id="0" name=""/>
        <dsp:cNvSpPr/>
      </dsp:nvSpPr>
      <dsp:spPr>
        <a:xfrm rot="2070389">
          <a:off x="1253492" y="2052963"/>
          <a:ext cx="449599" cy="26674"/>
        </a:xfrm>
        <a:custGeom>
          <a:avLst/>
          <a:gdLst/>
          <a:ahLst/>
          <a:cxnLst/>
          <a:rect l="0" t="0" r="0" b="0"/>
          <a:pathLst>
            <a:path>
              <a:moveTo>
                <a:pt x="0" y="13337"/>
              </a:moveTo>
              <a:lnTo>
                <a:pt x="449599" y="133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latin typeface="+mj-lt"/>
          </a:endParaRPr>
        </a:p>
      </dsp:txBody>
      <dsp:txXfrm>
        <a:off x="1467052" y="2055060"/>
        <a:ext cx="22479" cy="22479"/>
      </dsp:txXfrm>
    </dsp:sp>
    <dsp:sp modelId="{5C51C9AB-611E-714D-A442-134BF7DF8E36}">
      <dsp:nvSpPr>
        <dsp:cNvPr id="0" name=""/>
        <dsp:cNvSpPr/>
      </dsp:nvSpPr>
      <dsp:spPr>
        <a:xfrm>
          <a:off x="1663541" y="1950770"/>
          <a:ext cx="971517" cy="48575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j-lt"/>
            </a:rPr>
            <a:t>Other</a:t>
          </a:r>
          <a:endParaRPr lang="en-US" sz="900" kern="1200" dirty="0">
            <a:latin typeface="+mj-lt"/>
          </a:endParaRPr>
        </a:p>
      </dsp:txBody>
      <dsp:txXfrm>
        <a:off x="1677768" y="1964997"/>
        <a:ext cx="943063" cy="4573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097057-3F52-F54F-9EC2-2D97DB98639D}">
      <dsp:nvSpPr>
        <dsp:cNvPr id="0" name=""/>
        <dsp:cNvSpPr/>
      </dsp:nvSpPr>
      <dsp:spPr>
        <a:xfrm>
          <a:off x="1555561" y="142210"/>
          <a:ext cx="1165820" cy="2973028"/>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smtClean="0">
              <a:latin typeface="+mj-lt"/>
            </a:rPr>
            <a:t>PBA Plus</a:t>
          </a:r>
          <a:endParaRPr lang="en-US" sz="1400" kern="1200" dirty="0">
            <a:latin typeface="+mj-lt"/>
          </a:endParaRPr>
        </a:p>
      </dsp:txBody>
      <dsp:txXfrm>
        <a:off x="1555561" y="142210"/>
        <a:ext cx="1165820" cy="891908"/>
      </dsp:txXfrm>
    </dsp:sp>
    <dsp:sp modelId="{9D801A24-57C9-9940-9113-30E15DEAD497}">
      <dsp:nvSpPr>
        <dsp:cNvPr id="0" name=""/>
        <dsp:cNvSpPr/>
      </dsp:nvSpPr>
      <dsp:spPr>
        <a:xfrm>
          <a:off x="195437" y="142210"/>
          <a:ext cx="1165820" cy="2973028"/>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smtClean="0">
              <a:latin typeface="+mj-lt"/>
            </a:rPr>
            <a:t>PBA</a:t>
          </a:r>
          <a:endParaRPr lang="en-US" sz="1600" kern="1200" dirty="0">
            <a:latin typeface="+mj-lt"/>
          </a:endParaRPr>
        </a:p>
      </dsp:txBody>
      <dsp:txXfrm>
        <a:off x="195437" y="142210"/>
        <a:ext cx="1165820" cy="891908"/>
      </dsp:txXfrm>
    </dsp:sp>
    <dsp:sp modelId="{F1B21478-79B0-0049-A3B3-8F2C481B08DF}">
      <dsp:nvSpPr>
        <dsp:cNvPr id="0" name=""/>
        <dsp:cNvSpPr/>
      </dsp:nvSpPr>
      <dsp:spPr>
        <a:xfrm>
          <a:off x="292589" y="1696211"/>
          <a:ext cx="971517" cy="485758"/>
        </a:xfrm>
        <a:prstGeom prst="roundRect">
          <a:avLst>
            <a:gd name="adj" fmla="val 10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j-lt"/>
            </a:rPr>
            <a:t>Food Sales</a:t>
          </a:r>
          <a:endParaRPr lang="en-US" sz="900" kern="1200" dirty="0">
            <a:latin typeface="+mj-lt"/>
          </a:endParaRPr>
        </a:p>
      </dsp:txBody>
      <dsp:txXfrm>
        <a:off x="306816" y="1710438"/>
        <a:ext cx="943063" cy="457304"/>
      </dsp:txXfrm>
    </dsp:sp>
    <dsp:sp modelId="{D68EB364-5EED-5A47-8679-B4E3F01E1CF8}">
      <dsp:nvSpPr>
        <dsp:cNvPr id="0" name=""/>
        <dsp:cNvSpPr/>
      </dsp:nvSpPr>
      <dsp:spPr>
        <a:xfrm rot="17657377">
          <a:off x="986053" y="1495211"/>
          <a:ext cx="944712" cy="26674"/>
        </a:xfrm>
        <a:custGeom>
          <a:avLst/>
          <a:gdLst/>
          <a:ahLst/>
          <a:cxnLst/>
          <a:rect l="0" t="0" r="0" b="0"/>
          <a:pathLst>
            <a:path>
              <a:moveTo>
                <a:pt x="0" y="13337"/>
              </a:moveTo>
              <a:lnTo>
                <a:pt x="944712" y="13337"/>
              </a:lnTo>
            </a:path>
          </a:pathLst>
        </a:custGeom>
        <a:noFill/>
        <a:ln w="9525" cap="flat" cmpd="sng" algn="ctr">
          <a:solidFill>
            <a:schemeClr val="accent4">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latin typeface="+mj-lt"/>
          </a:endParaRPr>
        </a:p>
      </dsp:txBody>
      <dsp:txXfrm>
        <a:off x="1434792" y="1484930"/>
        <a:ext cx="47235" cy="47235"/>
      </dsp:txXfrm>
    </dsp:sp>
    <dsp:sp modelId="{AB9B21C0-6279-A84F-8C84-9FEFE15AF40A}">
      <dsp:nvSpPr>
        <dsp:cNvPr id="0" name=""/>
        <dsp:cNvSpPr/>
      </dsp:nvSpPr>
      <dsp:spPr>
        <a:xfrm>
          <a:off x="1652713" y="835126"/>
          <a:ext cx="971517" cy="485758"/>
        </a:xfrm>
        <a:prstGeom prst="roundRect">
          <a:avLst>
            <a:gd name="adj" fmla="val 10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n-US" sz="900" kern="1200" dirty="0" smtClean="0">
              <a:latin typeface="+mj-lt"/>
            </a:rPr>
            <a:t>Convenience </a:t>
          </a:r>
        </a:p>
        <a:p>
          <a:pPr lvl="0" algn="ctr" defTabSz="400050">
            <a:lnSpc>
              <a:spcPct val="90000"/>
            </a:lnSpc>
            <a:spcBef>
              <a:spcPct val="0"/>
            </a:spcBef>
            <a:spcAft>
              <a:spcPct val="35000"/>
            </a:spcAft>
          </a:pPr>
          <a:r>
            <a:rPr lang="en-US" sz="900" kern="1200" dirty="0" smtClean="0">
              <a:latin typeface="+mj-lt"/>
            </a:rPr>
            <a:t>store</a:t>
          </a:r>
        </a:p>
      </dsp:txBody>
      <dsp:txXfrm>
        <a:off x="1666940" y="849353"/>
        <a:ext cx="943063" cy="457304"/>
      </dsp:txXfrm>
    </dsp:sp>
    <dsp:sp modelId="{9EB6E4AF-C2A3-1144-B925-8BFC159B245A}">
      <dsp:nvSpPr>
        <dsp:cNvPr id="0" name=""/>
        <dsp:cNvSpPr/>
      </dsp:nvSpPr>
      <dsp:spPr>
        <a:xfrm rot="19326329">
          <a:off x="1212189" y="1774522"/>
          <a:ext cx="492441" cy="26674"/>
        </a:xfrm>
        <a:custGeom>
          <a:avLst/>
          <a:gdLst/>
          <a:ahLst/>
          <a:cxnLst/>
          <a:rect l="0" t="0" r="0" b="0"/>
          <a:pathLst>
            <a:path>
              <a:moveTo>
                <a:pt x="0" y="13337"/>
              </a:moveTo>
              <a:lnTo>
                <a:pt x="492441" y="13337"/>
              </a:lnTo>
            </a:path>
          </a:pathLst>
        </a:custGeom>
        <a:noFill/>
        <a:ln w="9525" cap="flat" cmpd="sng" algn="ctr">
          <a:solidFill>
            <a:schemeClr val="accent4">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latin typeface="+mj-lt"/>
          </a:endParaRPr>
        </a:p>
      </dsp:txBody>
      <dsp:txXfrm>
        <a:off x="1446098" y="1775548"/>
        <a:ext cx="24622" cy="24622"/>
      </dsp:txXfrm>
    </dsp:sp>
    <dsp:sp modelId="{E75965DA-767D-3E41-9316-DF9E38392205}">
      <dsp:nvSpPr>
        <dsp:cNvPr id="0" name=""/>
        <dsp:cNvSpPr/>
      </dsp:nvSpPr>
      <dsp:spPr>
        <a:xfrm>
          <a:off x="1652713" y="1393749"/>
          <a:ext cx="971517" cy="485758"/>
        </a:xfrm>
        <a:prstGeom prst="roundRect">
          <a:avLst>
            <a:gd name="adj" fmla="val 10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j-lt"/>
            </a:rPr>
            <a:t>Convenience store with gas station</a:t>
          </a:r>
          <a:endParaRPr lang="en-US" sz="900" kern="1200" dirty="0">
            <a:latin typeface="+mj-lt"/>
          </a:endParaRPr>
        </a:p>
      </dsp:txBody>
      <dsp:txXfrm>
        <a:off x="1666940" y="1407976"/>
        <a:ext cx="943063" cy="457304"/>
      </dsp:txXfrm>
    </dsp:sp>
    <dsp:sp modelId="{FFE6A3F1-4C92-B544-9FEC-DD51009E7828}">
      <dsp:nvSpPr>
        <dsp:cNvPr id="0" name=""/>
        <dsp:cNvSpPr/>
      </dsp:nvSpPr>
      <dsp:spPr>
        <a:xfrm rot="2073923">
          <a:off x="1222455" y="2059621"/>
          <a:ext cx="471908" cy="26674"/>
        </a:xfrm>
        <a:custGeom>
          <a:avLst/>
          <a:gdLst/>
          <a:ahLst/>
          <a:cxnLst/>
          <a:rect l="0" t="0" r="0" b="0"/>
          <a:pathLst>
            <a:path>
              <a:moveTo>
                <a:pt x="0" y="13337"/>
              </a:moveTo>
              <a:lnTo>
                <a:pt x="471908" y="13337"/>
              </a:lnTo>
            </a:path>
          </a:pathLst>
        </a:custGeom>
        <a:noFill/>
        <a:ln w="9525" cap="flat" cmpd="sng" algn="ctr">
          <a:solidFill>
            <a:schemeClr val="accent4">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latin typeface="+mj-lt"/>
          </a:endParaRPr>
        </a:p>
      </dsp:txBody>
      <dsp:txXfrm>
        <a:off x="1446612" y="2061160"/>
        <a:ext cx="23595" cy="23595"/>
      </dsp:txXfrm>
    </dsp:sp>
    <dsp:sp modelId="{898E93A3-AD28-F54F-A4CD-39A8E2256D8E}">
      <dsp:nvSpPr>
        <dsp:cNvPr id="0" name=""/>
        <dsp:cNvSpPr/>
      </dsp:nvSpPr>
      <dsp:spPr>
        <a:xfrm>
          <a:off x="1652713" y="1963947"/>
          <a:ext cx="971517" cy="485758"/>
        </a:xfrm>
        <a:prstGeom prst="roundRect">
          <a:avLst>
            <a:gd name="adj" fmla="val 10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j-lt"/>
            </a:rPr>
            <a:t>Grocery store/  food market</a:t>
          </a:r>
          <a:endParaRPr lang="en-US" sz="900" kern="1200" dirty="0">
            <a:latin typeface="+mj-lt"/>
          </a:endParaRPr>
        </a:p>
      </dsp:txBody>
      <dsp:txXfrm>
        <a:off x="1666940" y="1978174"/>
        <a:ext cx="943063" cy="457304"/>
      </dsp:txXfrm>
    </dsp:sp>
    <dsp:sp modelId="{38F0B48A-4ACD-164E-B31D-3190F6574068}">
      <dsp:nvSpPr>
        <dsp:cNvPr id="0" name=""/>
        <dsp:cNvSpPr/>
      </dsp:nvSpPr>
      <dsp:spPr>
        <a:xfrm rot="3925100">
          <a:off x="991322" y="2350508"/>
          <a:ext cx="934174" cy="26674"/>
        </a:xfrm>
        <a:custGeom>
          <a:avLst/>
          <a:gdLst/>
          <a:ahLst/>
          <a:cxnLst/>
          <a:rect l="0" t="0" r="0" b="0"/>
          <a:pathLst>
            <a:path>
              <a:moveTo>
                <a:pt x="0" y="13337"/>
              </a:moveTo>
              <a:lnTo>
                <a:pt x="934174" y="13337"/>
              </a:lnTo>
            </a:path>
          </a:pathLst>
        </a:custGeom>
        <a:noFill/>
        <a:ln w="9525" cap="flat" cmpd="sng" algn="ctr">
          <a:solidFill>
            <a:schemeClr val="accent4">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latin typeface="+mj-lt"/>
          </a:endParaRPr>
        </a:p>
      </dsp:txBody>
      <dsp:txXfrm>
        <a:off x="1435055" y="2340491"/>
        <a:ext cx="46708" cy="46708"/>
      </dsp:txXfrm>
    </dsp:sp>
    <dsp:sp modelId="{5C51C9AB-611E-714D-A442-134BF7DF8E36}">
      <dsp:nvSpPr>
        <dsp:cNvPr id="0" name=""/>
        <dsp:cNvSpPr/>
      </dsp:nvSpPr>
      <dsp:spPr>
        <a:xfrm>
          <a:off x="1652713" y="2545720"/>
          <a:ext cx="971517" cy="485758"/>
        </a:xfrm>
        <a:prstGeom prst="roundRect">
          <a:avLst>
            <a:gd name="adj" fmla="val 10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j-lt"/>
            </a:rPr>
            <a:t>Other</a:t>
          </a:r>
          <a:endParaRPr lang="en-US" sz="900" kern="1200" dirty="0">
            <a:latin typeface="+mj-lt"/>
          </a:endParaRPr>
        </a:p>
      </dsp:txBody>
      <dsp:txXfrm>
        <a:off x="1666940" y="2559947"/>
        <a:ext cx="943063" cy="4573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08C9D7-CDDF-F74E-876F-AFCF6E3538A6}">
      <dsp:nvSpPr>
        <dsp:cNvPr id="0" name=""/>
        <dsp:cNvSpPr/>
      </dsp:nvSpPr>
      <dsp:spPr>
        <a:xfrm>
          <a:off x="1004" y="283366"/>
          <a:ext cx="1154608" cy="368504"/>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mj-lt"/>
            </a:rPr>
            <a:t>CBECS	</a:t>
          </a:r>
          <a:endParaRPr lang="en-US" sz="1200" kern="1200" dirty="0">
            <a:latin typeface="+mj-lt"/>
          </a:endParaRPr>
        </a:p>
      </dsp:txBody>
      <dsp:txXfrm>
        <a:off x="11797" y="294159"/>
        <a:ext cx="1133022" cy="346918"/>
      </dsp:txXfrm>
    </dsp:sp>
    <dsp:sp modelId="{A485D406-9C25-9E4A-AF05-CFE0F6F9E8EC}">
      <dsp:nvSpPr>
        <dsp:cNvPr id="0" name=""/>
        <dsp:cNvSpPr/>
      </dsp:nvSpPr>
      <dsp:spPr>
        <a:xfrm>
          <a:off x="116465" y="651870"/>
          <a:ext cx="115460" cy="536552"/>
        </a:xfrm>
        <a:custGeom>
          <a:avLst/>
          <a:gdLst/>
          <a:ahLst/>
          <a:cxnLst/>
          <a:rect l="0" t="0" r="0" b="0"/>
          <a:pathLst>
            <a:path>
              <a:moveTo>
                <a:pt x="0" y="0"/>
              </a:moveTo>
              <a:lnTo>
                <a:pt x="0" y="536552"/>
              </a:lnTo>
              <a:lnTo>
                <a:pt x="115460" y="5365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06A694-28C9-FC44-98FE-68EC3509101B}">
      <dsp:nvSpPr>
        <dsp:cNvPr id="0" name=""/>
        <dsp:cNvSpPr/>
      </dsp:nvSpPr>
      <dsp:spPr>
        <a:xfrm>
          <a:off x="231926" y="796197"/>
          <a:ext cx="923686" cy="7844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ts val="0"/>
            </a:spcAft>
          </a:pPr>
          <a:r>
            <a:rPr lang="en-US" sz="800" b="1" kern="1200" dirty="0">
              <a:latin typeface="+mj-lt"/>
            </a:rPr>
            <a:t>Total Thermal Demand </a:t>
          </a:r>
        </a:p>
        <a:p>
          <a:pPr lvl="0" algn="ctr" defTabSz="355600">
            <a:lnSpc>
              <a:spcPct val="90000"/>
            </a:lnSpc>
            <a:spcBef>
              <a:spcPct val="0"/>
            </a:spcBef>
            <a:spcAft>
              <a:spcPts val="0"/>
            </a:spcAft>
          </a:pPr>
          <a:r>
            <a:rPr lang="en-US" sz="800" i="1" kern="1200" dirty="0">
              <a:latin typeface="+mj-lt"/>
            </a:rPr>
            <a:t>(trillion Btu) </a:t>
          </a:r>
        </a:p>
        <a:p>
          <a:pPr lvl="0" algn="ctr" defTabSz="355600">
            <a:lnSpc>
              <a:spcPct val="90000"/>
            </a:lnSpc>
            <a:spcBef>
              <a:spcPct val="0"/>
            </a:spcBef>
            <a:spcAft>
              <a:spcPts val="0"/>
            </a:spcAft>
          </a:pPr>
          <a:r>
            <a:rPr lang="en-US" sz="800" kern="1200" dirty="0">
              <a:latin typeface="+mj-lt"/>
            </a:rPr>
            <a:t>for each census division and for each PBA </a:t>
          </a:r>
        </a:p>
      </dsp:txBody>
      <dsp:txXfrm>
        <a:off x="254902" y="819173"/>
        <a:ext cx="877734" cy="738500"/>
      </dsp:txXfrm>
    </dsp:sp>
    <dsp:sp modelId="{8C9268A6-128B-AC4D-8514-7D8C2FB9C14C}">
      <dsp:nvSpPr>
        <dsp:cNvPr id="0" name=""/>
        <dsp:cNvSpPr/>
      </dsp:nvSpPr>
      <dsp:spPr>
        <a:xfrm>
          <a:off x="116465" y="651870"/>
          <a:ext cx="115460" cy="1400020"/>
        </a:xfrm>
        <a:custGeom>
          <a:avLst/>
          <a:gdLst/>
          <a:ahLst/>
          <a:cxnLst/>
          <a:rect l="0" t="0" r="0" b="0"/>
          <a:pathLst>
            <a:path>
              <a:moveTo>
                <a:pt x="0" y="0"/>
              </a:moveTo>
              <a:lnTo>
                <a:pt x="0" y="1400020"/>
              </a:lnTo>
              <a:lnTo>
                <a:pt x="115460" y="14000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F29EB66-5328-0D45-9195-FB8384859814}">
      <dsp:nvSpPr>
        <dsp:cNvPr id="0" name=""/>
        <dsp:cNvSpPr/>
      </dsp:nvSpPr>
      <dsp:spPr>
        <a:xfrm>
          <a:off x="231926" y="1655526"/>
          <a:ext cx="923686" cy="7927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ts val="0"/>
            </a:spcAft>
          </a:pPr>
          <a:r>
            <a:rPr lang="en-US" sz="800" b="1" kern="1200" dirty="0" smtClean="0">
              <a:latin typeface="+mj-lt"/>
            </a:rPr>
            <a:t>Thermal Demand Intensity </a:t>
          </a:r>
        </a:p>
        <a:p>
          <a:pPr lvl="0" algn="ctr" defTabSz="355600">
            <a:lnSpc>
              <a:spcPct val="90000"/>
            </a:lnSpc>
            <a:spcBef>
              <a:spcPct val="0"/>
            </a:spcBef>
            <a:spcAft>
              <a:spcPts val="0"/>
            </a:spcAft>
          </a:pPr>
          <a:r>
            <a:rPr lang="en-US" sz="800" b="0" i="1" kern="1200" dirty="0" smtClean="0">
              <a:latin typeface="+mj-lt"/>
            </a:rPr>
            <a:t>(mBtu/sq. ft.)</a:t>
          </a:r>
          <a:r>
            <a:rPr lang="en-US" sz="800" b="1" kern="1200" dirty="0" smtClean="0">
              <a:latin typeface="+mj-lt"/>
            </a:rPr>
            <a:t> </a:t>
          </a:r>
        </a:p>
        <a:p>
          <a:pPr lvl="0" algn="ctr" defTabSz="355600">
            <a:lnSpc>
              <a:spcPct val="90000"/>
            </a:lnSpc>
            <a:spcBef>
              <a:spcPct val="0"/>
            </a:spcBef>
            <a:spcAft>
              <a:spcPts val="0"/>
            </a:spcAft>
          </a:pPr>
          <a:r>
            <a:rPr lang="en-US" sz="800" kern="1200" dirty="0" smtClean="0">
              <a:latin typeface="+mj-lt"/>
            </a:rPr>
            <a:t>for each census division and for each PBA</a:t>
          </a:r>
          <a:endParaRPr lang="en-US" sz="800" kern="1200" dirty="0">
            <a:latin typeface="+mj-lt"/>
          </a:endParaRPr>
        </a:p>
      </dsp:txBody>
      <dsp:txXfrm>
        <a:off x="255144" y="1678744"/>
        <a:ext cx="877250" cy="746295"/>
      </dsp:txXfrm>
    </dsp:sp>
    <dsp:sp modelId="{0BAF59B4-2631-1547-B0FE-7C1F1CF46851}">
      <dsp:nvSpPr>
        <dsp:cNvPr id="0" name=""/>
        <dsp:cNvSpPr/>
      </dsp:nvSpPr>
      <dsp:spPr>
        <a:xfrm>
          <a:off x="1444265" y="283366"/>
          <a:ext cx="1154608" cy="3769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mj-lt"/>
            </a:rPr>
            <a:t>CDMS</a:t>
          </a:r>
          <a:endParaRPr lang="en-US" sz="1200" kern="1200" dirty="0">
            <a:latin typeface="+mj-lt"/>
          </a:endParaRPr>
        </a:p>
      </dsp:txBody>
      <dsp:txXfrm>
        <a:off x="1455307" y="294408"/>
        <a:ext cx="1132524" cy="354907"/>
      </dsp:txXfrm>
    </dsp:sp>
    <dsp:sp modelId="{EF1B4474-28CA-F34C-A578-AF50909513CD}">
      <dsp:nvSpPr>
        <dsp:cNvPr id="0" name=""/>
        <dsp:cNvSpPr/>
      </dsp:nvSpPr>
      <dsp:spPr>
        <a:xfrm>
          <a:off x="1559726" y="660357"/>
          <a:ext cx="115460" cy="432978"/>
        </a:xfrm>
        <a:custGeom>
          <a:avLst/>
          <a:gdLst/>
          <a:ahLst/>
          <a:cxnLst/>
          <a:rect l="0" t="0" r="0" b="0"/>
          <a:pathLst>
            <a:path>
              <a:moveTo>
                <a:pt x="0" y="0"/>
              </a:moveTo>
              <a:lnTo>
                <a:pt x="0" y="432978"/>
              </a:lnTo>
              <a:lnTo>
                <a:pt x="115460" y="43297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EEC238-F01B-2A47-8126-50E3FA7AF412}">
      <dsp:nvSpPr>
        <dsp:cNvPr id="0" name=""/>
        <dsp:cNvSpPr/>
      </dsp:nvSpPr>
      <dsp:spPr>
        <a:xfrm>
          <a:off x="1675187" y="804683"/>
          <a:ext cx="923686" cy="5773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ts val="0"/>
            </a:spcAft>
          </a:pPr>
          <a:r>
            <a:rPr lang="en-US" sz="800" b="1" kern="1200" dirty="0" smtClean="0">
              <a:latin typeface="+mj-lt"/>
            </a:rPr>
            <a:t>Total Area </a:t>
          </a:r>
        </a:p>
        <a:p>
          <a:pPr lvl="0" algn="ctr" defTabSz="355600">
            <a:lnSpc>
              <a:spcPct val="90000"/>
            </a:lnSpc>
            <a:spcBef>
              <a:spcPct val="0"/>
            </a:spcBef>
            <a:spcAft>
              <a:spcPts val="0"/>
            </a:spcAft>
          </a:pPr>
          <a:r>
            <a:rPr lang="en-US" sz="800" i="1" kern="1200" dirty="0" smtClean="0">
              <a:latin typeface="+mj-lt"/>
            </a:rPr>
            <a:t>(sq. ft.) </a:t>
          </a:r>
        </a:p>
        <a:p>
          <a:pPr lvl="0" algn="ctr" defTabSz="355600">
            <a:lnSpc>
              <a:spcPct val="90000"/>
            </a:lnSpc>
            <a:spcBef>
              <a:spcPct val="0"/>
            </a:spcBef>
            <a:spcAft>
              <a:spcPts val="0"/>
            </a:spcAft>
          </a:pPr>
          <a:r>
            <a:rPr lang="en-US" sz="800" kern="1200" dirty="0" smtClean="0">
              <a:latin typeface="+mj-lt"/>
            </a:rPr>
            <a:t>of each building type for each county</a:t>
          </a:r>
          <a:endParaRPr lang="en-US" sz="800" kern="1200" dirty="0">
            <a:latin typeface="+mj-lt"/>
          </a:endParaRPr>
        </a:p>
      </dsp:txBody>
      <dsp:txXfrm>
        <a:off x="1692096" y="821592"/>
        <a:ext cx="889868" cy="543486"/>
      </dsp:txXfrm>
    </dsp:sp>
    <dsp:sp modelId="{0EBCD300-DB11-B242-BCC7-25155DE39318}">
      <dsp:nvSpPr>
        <dsp:cNvPr id="0" name=""/>
        <dsp:cNvSpPr/>
      </dsp:nvSpPr>
      <dsp:spPr>
        <a:xfrm>
          <a:off x="2887526" y="283366"/>
          <a:ext cx="1154608" cy="34077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0" kern="1200" dirty="0" smtClean="0">
              <a:latin typeface="+mj-lt"/>
            </a:rPr>
            <a:t>Mapping Procedure</a:t>
          </a:r>
        </a:p>
      </dsp:txBody>
      <dsp:txXfrm>
        <a:off x="2897507" y="293347"/>
        <a:ext cx="1134646" cy="320814"/>
      </dsp:txXfrm>
    </dsp:sp>
    <dsp:sp modelId="{820AC1D9-A0CD-7849-A0F2-D933C8F68931}">
      <dsp:nvSpPr>
        <dsp:cNvPr id="0" name=""/>
        <dsp:cNvSpPr/>
      </dsp:nvSpPr>
      <dsp:spPr>
        <a:xfrm>
          <a:off x="3002986" y="624143"/>
          <a:ext cx="115460" cy="432978"/>
        </a:xfrm>
        <a:custGeom>
          <a:avLst/>
          <a:gdLst/>
          <a:ahLst/>
          <a:cxnLst/>
          <a:rect l="0" t="0" r="0" b="0"/>
          <a:pathLst>
            <a:path>
              <a:moveTo>
                <a:pt x="0" y="0"/>
              </a:moveTo>
              <a:lnTo>
                <a:pt x="0" y="432978"/>
              </a:lnTo>
              <a:lnTo>
                <a:pt x="115460" y="43297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7A2C31-C938-E54E-AB2D-6733956EBA32}">
      <dsp:nvSpPr>
        <dsp:cNvPr id="0" name=""/>
        <dsp:cNvSpPr/>
      </dsp:nvSpPr>
      <dsp:spPr>
        <a:xfrm>
          <a:off x="3118447" y="768469"/>
          <a:ext cx="923686" cy="5773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b="0" kern="1200" dirty="0" smtClean="0">
              <a:latin typeface="+mj-lt"/>
            </a:rPr>
            <a:t>Distinct building type definitions from CBECS mapped to CDMS definitions</a:t>
          </a:r>
        </a:p>
      </dsp:txBody>
      <dsp:txXfrm>
        <a:off x="3135356" y="785378"/>
        <a:ext cx="889868" cy="543486"/>
      </dsp:txXfrm>
    </dsp:sp>
    <dsp:sp modelId="{FEE2FC25-CF5C-3840-93C9-3BAA21479208}">
      <dsp:nvSpPr>
        <dsp:cNvPr id="0" name=""/>
        <dsp:cNvSpPr/>
      </dsp:nvSpPr>
      <dsp:spPr>
        <a:xfrm>
          <a:off x="3002986" y="624143"/>
          <a:ext cx="115460" cy="1211129"/>
        </a:xfrm>
        <a:custGeom>
          <a:avLst/>
          <a:gdLst/>
          <a:ahLst/>
          <a:cxnLst/>
          <a:rect l="0" t="0" r="0" b="0"/>
          <a:pathLst>
            <a:path>
              <a:moveTo>
                <a:pt x="0" y="0"/>
              </a:moveTo>
              <a:lnTo>
                <a:pt x="0" y="1211129"/>
              </a:lnTo>
              <a:lnTo>
                <a:pt x="115460" y="12111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6C5942B-F930-5446-8009-8BEDE03A678A}">
      <dsp:nvSpPr>
        <dsp:cNvPr id="0" name=""/>
        <dsp:cNvSpPr/>
      </dsp:nvSpPr>
      <dsp:spPr>
        <a:xfrm>
          <a:off x="3118447" y="1490099"/>
          <a:ext cx="923686" cy="6903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b="1" kern="1200" dirty="0" smtClean="0">
              <a:latin typeface="+mj-lt"/>
            </a:rPr>
            <a:t>Takeaway:</a:t>
          </a:r>
          <a:r>
            <a:rPr lang="en-US" sz="800" b="0" kern="1200" dirty="0" smtClean="0">
              <a:latin typeface="+mj-lt"/>
            </a:rPr>
            <a:t> Census division-level thermal demand from CBECS disaggregated to county level </a:t>
          </a:r>
          <a:endParaRPr lang="en-US" sz="800" b="1" kern="1200" dirty="0" smtClean="0">
            <a:latin typeface="+mj-lt"/>
          </a:endParaRPr>
        </a:p>
      </dsp:txBody>
      <dsp:txXfrm>
        <a:off x="3138667" y="1510319"/>
        <a:ext cx="883246" cy="649906"/>
      </dsp:txXfrm>
    </dsp:sp>
    <dsp:sp modelId="{17204671-F916-8545-B038-4393A6DD7A49}">
      <dsp:nvSpPr>
        <dsp:cNvPr id="0" name=""/>
        <dsp:cNvSpPr/>
      </dsp:nvSpPr>
      <dsp:spPr>
        <a:xfrm>
          <a:off x="4330786" y="283366"/>
          <a:ext cx="1154608" cy="35888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0" kern="1200" smtClean="0">
              <a:latin typeface="+mj-lt"/>
            </a:rPr>
            <a:t>Result</a:t>
          </a:r>
          <a:endParaRPr lang="en-US" sz="1200" b="0" kern="1200" dirty="0" smtClean="0">
            <a:latin typeface="+mj-lt"/>
          </a:endParaRPr>
        </a:p>
      </dsp:txBody>
      <dsp:txXfrm>
        <a:off x="4341297" y="293877"/>
        <a:ext cx="1133586" cy="337864"/>
      </dsp:txXfrm>
    </dsp:sp>
    <dsp:sp modelId="{4F8B63C3-6DE7-474E-AECC-80933437CD3E}">
      <dsp:nvSpPr>
        <dsp:cNvPr id="0" name=""/>
        <dsp:cNvSpPr/>
      </dsp:nvSpPr>
      <dsp:spPr>
        <a:xfrm>
          <a:off x="4446247" y="642253"/>
          <a:ext cx="115460" cy="432978"/>
        </a:xfrm>
        <a:custGeom>
          <a:avLst/>
          <a:gdLst/>
          <a:ahLst/>
          <a:cxnLst/>
          <a:rect l="0" t="0" r="0" b="0"/>
          <a:pathLst>
            <a:path>
              <a:moveTo>
                <a:pt x="0" y="0"/>
              </a:moveTo>
              <a:lnTo>
                <a:pt x="0" y="432978"/>
              </a:lnTo>
              <a:lnTo>
                <a:pt x="115460" y="43297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D2B8C4-B6BE-9340-B189-EF512733BEDB}">
      <dsp:nvSpPr>
        <dsp:cNvPr id="0" name=""/>
        <dsp:cNvSpPr/>
      </dsp:nvSpPr>
      <dsp:spPr>
        <a:xfrm>
          <a:off x="4561708" y="786579"/>
          <a:ext cx="923686" cy="5773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b="1" kern="1200" dirty="0" smtClean="0">
              <a:latin typeface="+mj-lt"/>
            </a:rPr>
            <a:t>Total thermal demand for each building type at county level (</a:t>
          </a:r>
          <a:r>
            <a:rPr lang="en-US" sz="800" b="1" kern="1200" dirty="0" err="1" smtClean="0">
              <a:latin typeface="+mj-lt"/>
            </a:rPr>
            <a:t>mBtu</a:t>
          </a:r>
          <a:r>
            <a:rPr lang="en-US" sz="800" b="1" kern="1200" dirty="0" smtClean="0">
              <a:latin typeface="+mj-lt"/>
            </a:rPr>
            <a:t>)</a:t>
          </a:r>
        </a:p>
      </dsp:txBody>
      <dsp:txXfrm>
        <a:off x="4578617" y="803488"/>
        <a:ext cx="889868" cy="5434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08C9D7-CDDF-F74E-876F-AFCF6E3538A6}">
      <dsp:nvSpPr>
        <dsp:cNvPr id="0" name=""/>
        <dsp:cNvSpPr/>
      </dsp:nvSpPr>
      <dsp:spPr>
        <a:xfrm>
          <a:off x="1004" y="286394"/>
          <a:ext cx="1154608" cy="577304"/>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i="1" kern="1200" dirty="0" smtClean="0">
              <a:latin typeface="+mj-lt"/>
            </a:rPr>
            <a:t>Energy Analysis of 108 Industrial Processes</a:t>
          </a:r>
          <a:r>
            <a:rPr lang="en-US" sz="1200" kern="1200" dirty="0" smtClean="0">
              <a:latin typeface="+mj-lt"/>
            </a:rPr>
            <a:t>	</a:t>
          </a:r>
          <a:endParaRPr lang="en-US" sz="1200" kern="1200" dirty="0">
            <a:latin typeface="+mj-lt"/>
          </a:endParaRPr>
        </a:p>
      </dsp:txBody>
      <dsp:txXfrm>
        <a:off x="17913" y="303303"/>
        <a:ext cx="1120790" cy="543486"/>
      </dsp:txXfrm>
    </dsp:sp>
    <dsp:sp modelId="{A485D406-9C25-9E4A-AF05-CFE0F6F9E8EC}">
      <dsp:nvSpPr>
        <dsp:cNvPr id="0" name=""/>
        <dsp:cNvSpPr/>
      </dsp:nvSpPr>
      <dsp:spPr>
        <a:xfrm>
          <a:off x="116465" y="863698"/>
          <a:ext cx="115460" cy="653958"/>
        </a:xfrm>
        <a:custGeom>
          <a:avLst/>
          <a:gdLst/>
          <a:ahLst/>
          <a:cxnLst/>
          <a:rect l="0" t="0" r="0" b="0"/>
          <a:pathLst>
            <a:path>
              <a:moveTo>
                <a:pt x="0" y="0"/>
              </a:moveTo>
              <a:lnTo>
                <a:pt x="0" y="653958"/>
              </a:lnTo>
              <a:lnTo>
                <a:pt x="115460" y="65395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06A694-28C9-FC44-98FE-68EC3509101B}">
      <dsp:nvSpPr>
        <dsp:cNvPr id="0" name=""/>
        <dsp:cNvSpPr/>
      </dsp:nvSpPr>
      <dsp:spPr>
        <a:xfrm>
          <a:off x="231926" y="1008024"/>
          <a:ext cx="923686" cy="10192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ts val="0"/>
            </a:spcAft>
          </a:pPr>
          <a:r>
            <a:rPr lang="en-US" sz="800" b="1" kern="1200" dirty="0">
              <a:latin typeface="+mj-lt"/>
            </a:rPr>
            <a:t>Process Steam Temperatures</a:t>
          </a:r>
        </a:p>
        <a:p>
          <a:pPr lvl="0" algn="ctr" defTabSz="355600">
            <a:lnSpc>
              <a:spcPct val="90000"/>
            </a:lnSpc>
            <a:spcBef>
              <a:spcPct val="0"/>
            </a:spcBef>
            <a:spcAft>
              <a:spcPts val="0"/>
            </a:spcAft>
          </a:pPr>
          <a:r>
            <a:rPr lang="en-US" sz="800" i="1" kern="1200" dirty="0">
              <a:latin typeface="+mj-lt"/>
            </a:rPr>
            <a:t>(</a:t>
          </a:r>
          <a:r>
            <a:rPr lang="en-US" sz="800" i="1" kern="1200"/>
            <a:t>°F / °C</a:t>
          </a:r>
          <a:r>
            <a:rPr lang="en-US" sz="800" i="1" kern="1200" dirty="0">
              <a:latin typeface="+mj-lt"/>
            </a:rPr>
            <a:t>) </a:t>
          </a:r>
        </a:p>
        <a:p>
          <a:pPr lvl="0" algn="ctr" defTabSz="355600">
            <a:lnSpc>
              <a:spcPct val="90000"/>
            </a:lnSpc>
            <a:spcBef>
              <a:spcPct val="0"/>
            </a:spcBef>
            <a:spcAft>
              <a:spcPts val="0"/>
            </a:spcAft>
          </a:pPr>
          <a:r>
            <a:rPr lang="en-US" sz="800" kern="1200" dirty="0">
              <a:latin typeface="+mj-lt"/>
            </a:rPr>
            <a:t>for 108 processes spanning 60 industries. Filters processes based on GVS temperature bounds.</a:t>
          </a:r>
        </a:p>
      </dsp:txBody>
      <dsp:txXfrm>
        <a:off x="258980" y="1035078"/>
        <a:ext cx="869578" cy="965157"/>
      </dsp:txXfrm>
    </dsp:sp>
    <dsp:sp modelId="{0BAF59B4-2631-1547-B0FE-7C1F1CF46851}">
      <dsp:nvSpPr>
        <dsp:cNvPr id="0" name=""/>
        <dsp:cNvSpPr/>
      </dsp:nvSpPr>
      <dsp:spPr>
        <a:xfrm>
          <a:off x="1444265" y="286394"/>
          <a:ext cx="1154608" cy="577304"/>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mj-lt"/>
            </a:rPr>
            <a:t>MECS</a:t>
          </a:r>
          <a:endParaRPr lang="en-US" sz="1200" kern="1200" dirty="0">
            <a:latin typeface="+mj-lt"/>
          </a:endParaRPr>
        </a:p>
      </dsp:txBody>
      <dsp:txXfrm>
        <a:off x="1461174" y="303303"/>
        <a:ext cx="1120790" cy="543486"/>
      </dsp:txXfrm>
    </dsp:sp>
    <dsp:sp modelId="{EF1B4474-28CA-F34C-A578-AF50909513CD}">
      <dsp:nvSpPr>
        <dsp:cNvPr id="0" name=""/>
        <dsp:cNvSpPr/>
      </dsp:nvSpPr>
      <dsp:spPr>
        <a:xfrm>
          <a:off x="1559726" y="863698"/>
          <a:ext cx="115460" cy="514865"/>
        </a:xfrm>
        <a:custGeom>
          <a:avLst/>
          <a:gdLst/>
          <a:ahLst/>
          <a:cxnLst/>
          <a:rect l="0" t="0" r="0" b="0"/>
          <a:pathLst>
            <a:path>
              <a:moveTo>
                <a:pt x="0" y="0"/>
              </a:moveTo>
              <a:lnTo>
                <a:pt x="0" y="514865"/>
              </a:lnTo>
              <a:lnTo>
                <a:pt x="115460" y="51486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EEC238-F01B-2A47-8126-50E3FA7AF412}">
      <dsp:nvSpPr>
        <dsp:cNvPr id="0" name=""/>
        <dsp:cNvSpPr/>
      </dsp:nvSpPr>
      <dsp:spPr>
        <a:xfrm>
          <a:off x="1675187" y="1008024"/>
          <a:ext cx="923686" cy="74107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ts val="0"/>
            </a:spcAft>
          </a:pPr>
          <a:r>
            <a:rPr lang="en-US" sz="800" b="1" kern="1200" dirty="0" smtClean="0">
              <a:latin typeface="+mj-lt"/>
            </a:rPr>
            <a:t>Total Process Heat Demand</a:t>
          </a:r>
        </a:p>
        <a:p>
          <a:pPr lvl="0" algn="ctr" defTabSz="355600">
            <a:lnSpc>
              <a:spcPct val="90000"/>
            </a:lnSpc>
            <a:spcBef>
              <a:spcPct val="0"/>
            </a:spcBef>
            <a:spcAft>
              <a:spcPts val="0"/>
            </a:spcAft>
          </a:pPr>
          <a:r>
            <a:rPr lang="en-US" sz="800" kern="1200" dirty="0" smtClean="0">
              <a:latin typeface="+mj-lt"/>
            </a:rPr>
            <a:t>(</a:t>
          </a:r>
          <a:r>
            <a:rPr lang="en-US" sz="800" i="1" kern="1200" dirty="0" smtClean="0">
              <a:latin typeface="+mj-lt"/>
            </a:rPr>
            <a:t>trillion Btu</a:t>
          </a:r>
          <a:r>
            <a:rPr lang="en-US" sz="800" kern="1200" dirty="0" smtClean="0">
              <a:latin typeface="+mj-lt"/>
            </a:rPr>
            <a:t>) </a:t>
          </a:r>
        </a:p>
        <a:p>
          <a:pPr lvl="0" algn="ctr" defTabSz="355600">
            <a:lnSpc>
              <a:spcPct val="90000"/>
            </a:lnSpc>
            <a:spcBef>
              <a:spcPct val="0"/>
            </a:spcBef>
            <a:spcAft>
              <a:spcPts val="0"/>
            </a:spcAft>
          </a:pPr>
          <a:r>
            <a:rPr lang="en-US" sz="800" kern="1200" dirty="0" smtClean="0">
              <a:latin typeface="+mj-lt"/>
            </a:rPr>
            <a:t>for 83 NAICS codes, ranging from the 3-digit to 6-digit level</a:t>
          </a:r>
          <a:endParaRPr lang="en-US" sz="800" kern="1200" dirty="0">
            <a:latin typeface="+mj-lt"/>
          </a:endParaRPr>
        </a:p>
      </dsp:txBody>
      <dsp:txXfrm>
        <a:off x="1696892" y="1029729"/>
        <a:ext cx="880276" cy="697669"/>
      </dsp:txXfrm>
    </dsp:sp>
    <dsp:sp modelId="{2340B19F-357B-BE4D-B4A0-44D45C71321E}">
      <dsp:nvSpPr>
        <dsp:cNvPr id="0" name=""/>
        <dsp:cNvSpPr/>
      </dsp:nvSpPr>
      <dsp:spPr>
        <a:xfrm>
          <a:off x="1559726" y="863698"/>
          <a:ext cx="115460" cy="1340356"/>
        </a:xfrm>
        <a:custGeom>
          <a:avLst/>
          <a:gdLst/>
          <a:ahLst/>
          <a:cxnLst/>
          <a:rect l="0" t="0" r="0" b="0"/>
          <a:pathLst>
            <a:path>
              <a:moveTo>
                <a:pt x="0" y="0"/>
              </a:moveTo>
              <a:lnTo>
                <a:pt x="0" y="1340356"/>
              </a:lnTo>
              <a:lnTo>
                <a:pt x="115460" y="134035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FEF5E36-1B00-6745-95D3-8AF50779503A}">
      <dsp:nvSpPr>
        <dsp:cNvPr id="0" name=""/>
        <dsp:cNvSpPr/>
      </dsp:nvSpPr>
      <dsp:spPr>
        <a:xfrm>
          <a:off x="1675187" y="1893430"/>
          <a:ext cx="923686" cy="62124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b="1" kern="1200" dirty="0" smtClean="0">
              <a:latin typeface="+mj-lt"/>
            </a:rPr>
            <a:t>Number of Establishments</a:t>
          </a:r>
        </a:p>
        <a:p>
          <a:pPr lvl="0" algn="ctr" defTabSz="355600">
            <a:lnSpc>
              <a:spcPct val="90000"/>
            </a:lnSpc>
            <a:spcBef>
              <a:spcPct val="0"/>
            </a:spcBef>
            <a:spcAft>
              <a:spcPct val="35000"/>
            </a:spcAft>
          </a:pPr>
          <a:r>
            <a:rPr lang="en-US" sz="800" b="0" kern="1200" dirty="0" smtClean="0">
              <a:latin typeface="+mj-lt"/>
            </a:rPr>
            <a:t>for same 83 NAICS codes, representing nationwide totals</a:t>
          </a:r>
        </a:p>
      </dsp:txBody>
      <dsp:txXfrm>
        <a:off x="1693383" y="1911626"/>
        <a:ext cx="887294" cy="584856"/>
      </dsp:txXfrm>
    </dsp:sp>
    <dsp:sp modelId="{0EBCD300-DB11-B242-BCC7-25155DE39318}">
      <dsp:nvSpPr>
        <dsp:cNvPr id="0" name=""/>
        <dsp:cNvSpPr/>
      </dsp:nvSpPr>
      <dsp:spPr>
        <a:xfrm>
          <a:off x="2887526" y="286394"/>
          <a:ext cx="1154608" cy="577304"/>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0" kern="1200" dirty="0" smtClean="0">
              <a:latin typeface="+mj-lt"/>
            </a:rPr>
            <a:t>County Business Patterns (CBP)</a:t>
          </a:r>
        </a:p>
      </dsp:txBody>
      <dsp:txXfrm>
        <a:off x="2904435" y="303303"/>
        <a:ext cx="1120790" cy="543486"/>
      </dsp:txXfrm>
    </dsp:sp>
    <dsp:sp modelId="{820AC1D9-A0CD-7849-A0F2-D933C8F68931}">
      <dsp:nvSpPr>
        <dsp:cNvPr id="0" name=""/>
        <dsp:cNvSpPr/>
      </dsp:nvSpPr>
      <dsp:spPr>
        <a:xfrm>
          <a:off x="3002986" y="863698"/>
          <a:ext cx="115460" cy="562202"/>
        </a:xfrm>
        <a:custGeom>
          <a:avLst/>
          <a:gdLst/>
          <a:ahLst/>
          <a:cxnLst/>
          <a:rect l="0" t="0" r="0" b="0"/>
          <a:pathLst>
            <a:path>
              <a:moveTo>
                <a:pt x="0" y="0"/>
              </a:moveTo>
              <a:lnTo>
                <a:pt x="0" y="562202"/>
              </a:lnTo>
              <a:lnTo>
                <a:pt x="115460" y="5622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7A2C31-C938-E54E-AB2D-6733956EBA32}">
      <dsp:nvSpPr>
        <dsp:cNvPr id="0" name=""/>
        <dsp:cNvSpPr/>
      </dsp:nvSpPr>
      <dsp:spPr>
        <a:xfrm>
          <a:off x="3118447" y="1008024"/>
          <a:ext cx="923686" cy="835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b="1" kern="1200" dirty="0" smtClean="0">
              <a:latin typeface="+mj-lt"/>
            </a:rPr>
            <a:t>Number of Establishments by County</a:t>
          </a:r>
          <a:br>
            <a:rPr lang="en-US" sz="800" b="1" kern="1200" dirty="0" smtClean="0">
              <a:latin typeface="+mj-lt"/>
            </a:rPr>
          </a:br>
          <a:r>
            <a:rPr lang="en-US" sz="800" b="0" kern="1200" dirty="0" smtClean="0">
              <a:latin typeface="+mj-lt"/>
            </a:rPr>
            <a:t>for almost 1,000 unique 6-digit NAICS codes.</a:t>
          </a:r>
          <a:endParaRPr lang="en-US" sz="800" b="1" kern="1200" dirty="0" smtClean="0">
            <a:latin typeface="+mj-lt"/>
          </a:endParaRPr>
        </a:p>
      </dsp:txBody>
      <dsp:txXfrm>
        <a:off x="3142925" y="1032502"/>
        <a:ext cx="874730" cy="786795"/>
      </dsp:txXfrm>
    </dsp:sp>
    <dsp:sp modelId="{17204671-F916-8545-B038-4393A6DD7A49}">
      <dsp:nvSpPr>
        <dsp:cNvPr id="0" name=""/>
        <dsp:cNvSpPr/>
      </dsp:nvSpPr>
      <dsp:spPr>
        <a:xfrm>
          <a:off x="4330786" y="286394"/>
          <a:ext cx="1154608" cy="577304"/>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0" kern="1200" smtClean="0">
              <a:latin typeface="+mj-lt"/>
            </a:rPr>
            <a:t>Result</a:t>
          </a:r>
          <a:endParaRPr lang="en-US" sz="1200" b="0" kern="1200" dirty="0" smtClean="0">
            <a:latin typeface="+mj-lt"/>
          </a:endParaRPr>
        </a:p>
      </dsp:txBody>
      <dsp:txXfrm>
        <a:off x="4347695" y="303303"/>
        <a:ext cx="1120790" cy="543486"/>
      </dsp:txXfrm>
    </dsp:sp>
    <dsp:sp modelId="{4F8B63C3-6DE7-474E-AECC-80933437CD3E}">
      <dsp:nvSpPr>
        <dsp:cNvPr id="0" name=""/>
        <dsp:cNvSpPr/>
      </dsp:nvSpPr>
      <dsp:spPr>
        <a:xfrm>
          <a:off x="4446247" y="863698"/>
          <a:ext cx="115460" cy="432978"/>
        </a:xfrm>
        <a:custGeom>
          <a:avLst/>
          <a:gdLst/>
          <a:ahLst/>
          <a:cxnLst/>
          <a:rect l="0" t="0" r="0" b="0"/>
          <a:pathLst>
            <a:path>
              <a:moveTo>
                <a:pt x="0" y="0"/>
              </a:moveTo>
              <a:lnTo>
                <a:pt x="0" y="432978"/>
              </a:lnTo>
              <a:lnTo>
                <a:pt x="115460" y="43297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D2B8C4-B6BE-9340-B189-EF512733BEDB}">
      <dsp:nvSpPr>
        <dsp:cNvPr id="0" name=""/>
        <dsp:cNvSpPr/>
      </dsp:nvSpPr>
      <dsp:spPr>
        <a:xfrm>
          <a:off x="4561708" y="1008024"/>
          <a:ext cx="923686" cy="5773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b="1" kern="1200" dirty="0" smtClean="0">
              <a:latin typeface="+mj-lt"/>
            </a:rPr>
            <a:t>Total thermal demand for each 6-digit NAICS industry at county level (</a:t>
          </a:r>
          <a:r>
            <a:rPr lang="en-US" sz="800" b="1" kern="1200" dirty="0" err="1" smtClean="0">
              <a:latin typeface="+mj-lt"/>
            </a:rPr>
            <a:t>trillion Btu</a:t>
          </a:r>
          <a:r>
            <a:rPr lang="en-US" sz="800" b="1" kern="1200" dirty="0" smtClean="0">
              <a:latin typeface="+mj-lt"/>
            </a:rPr>
            <a:t>)</a:t>
          </a:r>
        </a:p>
      </dsp:txBody>
      <dsp:txXfrm>
        <a:off x="4578617" y="1024933"/>
        <a:ext cx="889868" cy="5434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8C35B-97DF-4959-A9C0-E1A22C00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7686</Words>
  <Characters>43814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NREL</Company>
  <LinksUpToDate>false</LinksUpToDate>
  <CharactersWithSpaces>51398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McCabe</dc:creator>
  <cp:lastModifiedBy>Connie</cp:lastModifiedBy>
  <cp:revision>2</cp:revision>
  <cp:lastPrinted>2016-06-15T20:04:00Z</cp:lastPrinted>
  <dcterms:created xsi:type="dcterms:W3CDTF">2016-06-27T16:46:00Z</dcterms:created>
  <dcterms:modified xsi:type="dcterms:W3CDTF">2016-06-27T16:46:00Z</dcterms:modified>
</cp:coreProperties>
</file>